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43" w:rsidRPr="00A15986" w:rsidRDefault="005B6143" w:rsidP="000C31C6">
      <w:pPr>
        <w:jc w:val="center"/>
        <w:rPr>
          <w:b/>
          <w:lang w:val="sq-AL"/>
        </w:rPr>
      </w:pPr>
    </w:p>
    <w:p w:rsidR="005B6143" w:rsidRPr="00A15986" w:rsidRDefault="005B6143" w:rsidP="000C31C6">
      <w:pPr>
        <w:jc w:val="center"/>
        <w:rPr>
          <w:b/>
          <w:lang w:val="sq-AL"/>
        </w:rPr>
      </w:pPr>
    </w:p>
    <w:p w:rsidR="005B6143" w:rsidRPr="00A15986" w:rsidRDefault="005B6143" w:rsidP="00540EE0">
      <w:pPr>
        <w:rPr>
          <w:sz w:val="22"/>
          <w:szCs w:val="22"/>
          <w:lang w:val="sq-AL"/>
        </w:rPr>
      </w:pPr>
    </w:p>
    <w:p w:rsidR="005B6143" w:rsidRPr="00A15986" w:rsidRDefault="005B6143" w:rsidP="00540EE0">
      <w:pPr>
        <w:rPr>
          <w:sz w:val="22"/>
          <w:szCs w:val="22"/>
          <w:lang w:val="sq-AL"/>
        </w:rPr>
      </w:pPr>
      <w:r w:rsidRPr="00A15986">
        <w:rPr>
          <w:sz w:val="22"/>
          <w:szCs w:val="22"/>
          <w:lang w:val="sq-AL"/>
        </w:rPr>
        <w:tab/>
      </w:r>
      <w:r w:rsidRPr="00A15986">
        <w:rPr>
          <w:sz w:val="22"/>
          <w:szCs w:val="22"/>
          <w:lang w:val="sq-AL"/>
        </w:rPr>
        <w:tab/>
      </w:r>
      <w:r w:rsidRPr="00A15986">
        <w:rPr>
          <w:sz w:val="22"/>
          <w:szCs w:val="22"/>
          <w:lang w:val="sq-AL"/>
        </w:rPr>
        <w:tab/>
      </w:r>
    </w:p>
    <w:p w:rsidR="005B6143" w:rsidRPr="00A15986" w:rsidRDefault="005B6143" w:rsidP="00A3074E">
      <w:pPr>
        <w:jc w:val="right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5B6143" w:rsidP="00A3074E">
      <w:pPr>
        <w:jc w:val="right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5B6143" w:rsidP="00A3074E">
      <w:pPr>
        <w:jc w:val="right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A15986" w:rsidP="00A3074E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A15986">
        <w:rPr>
          <w:rFonts w:ascii="Arial" w:hAnsi="Arial" w:cs="Arial"/>
          <w:b/>
          <w:bCs/>
          <w:sz w:val="22"/>
          <w:szCs w:val="22"/>
          <w:lang w:val="sq-AL"/>
        </w:rPr>
        <w:t xml:space="preserve">VENDIM </w:t>
      </w:r>
      <w:r w:rsidR="00511A55">
        <w:rPr>
          <w:rFonts w:ascii="Arial" w:hAnsi="Arial" w:cs="Arial"/>
          <w:b/>
          <w:bCs/>
          <w:sz w:val="22"/>
          <w:szCs w:val="22"/>
          <w:lang w:val="sq-AL"/>
        </w:rPr>
        <w:t xml:space="preserve">MBI </w:t>
      </w:r>
      <w:r w:rsidRPr="00A15986">
        <w:rPr>
          <w:rFonts w:ascii="Arial" w:hAnsi="Arial" w:cs="Arial"/>
          <w:b/>
          <w:bCs/>
          <w:sz w:val="22"/>
          <w:szCs w:val="22"/>
          <w:lang w:val="sq-AL"/>
        </w:rPr>
        <w:t>PAPRANUESHM</w:t>
      </w:r>
      <w:r>
        <w:rPr>
          <w:rFonts w:ascii="Arial" w:hAnsi="Arial" w:cs="Arial"/>
          <w:b/>
          <w:bCs/>
          <w:sz w:val="22"/>
          <w:szCs w:val="22"/>
          <w:lang w:val="sq-AL"/>
        </w:rPr>
        <w:t>ËRI</w:t>
      </w:r>
    </w:p>
    <w:p w:rsidR="005B6143" w:rsidRPr="00A15986" w:rsidRDefault="005B6143" w:rsidP="00A3074E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5B6143" w:rsidP="00A3074E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5B6143" w:rsidP="00A3074E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A15986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>
        <w:rPr>
          <w:rFonts w:ascii="Arial" w:hAnsi="Arial" w:cs="Arial"/>
          <w:b/>
          <w:bCs/>
          <w:sz w:val="22"/>
          <w:szCs w:val="22"/>
          <w:lang w:val="sq-AL"/>
        </w:rPr>
        <w:t>Data e miratimit:</w:t>
      </w:r>
      <w:r w:rsidR="00975173">
        <w:rPr>
          <w:rFonts w:ascii="Arial" w:hAnsi="Arial" w:cs="Arial"/>
          <w:b/>
          <w:bCs/>
          <w:sz w:val="22"/>
          <w:szCs w:val="22"/>
          <w:lang w:val="sq-AL"/>
        </w:rPr>
        <w:t xml:space="preserve"> </w:t>
      </w:r>
      <w:r w:rsidR="00230925">
        <w:rPr>
          <w:rFonts w:ascii="Arial" w:hAnsi="Arial" w:cs="Arial"/>
          <w:b/>
          <w:bCs/>
          <w:sz w:val="22"/>
          <w:szCs w:val="22"/>
          <w:lang w:val="sq-AL"/>
        </w:rPr>
        <w:t xml:space="preserve">27 </w:t>
      </w:r>
      <w:r w:rsidR="00484048">
        <w:rPr>
          <w:rFonts w:ascii="Arial" w:hAnsi="Arial" w:cs="Arial"/>
          <w:b/>
          <w:bCs/>
          <w:sz w:val="22"/>
          <w:szCs w:val="22"/>
          <w:lang w:val="sq-AL"/>
        </w:rPr>
        <w:t xml:space="preserve">nëntor </w:t>
      </w:r>
      <w:r w:rsidR="006456F3">
        <w:rPr>
          <w:rFonts w:ascii="Arial" w:hAnsi="Arial" w:cs="Arial"/>
          <w:b/>
          <w:bCs/>
          <w:sz w:val="22"/>
          <w:szCs w:val="22"/>
          <w:lang w:val="sq-AL"/>
        </w:rPr>
        <w:t>2013</w:t>
      </w:r>
    </w:p>
    <w:p w:rsidR="005B6143" w:rsidRPr="00A15986" w:rsidRDefault="005B6143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5B6143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A15986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>
        <w:rPr>
          <w:rFonts w:ascii="Arial" w:hAnsi="Arial" w:cs="Arial"/>
          <w:b/>
          <w:bCs/>
          <w:sz w:val="22"/>
          <w:szCs w:val="22"/>
          <w:lang w:val="sq-AL"/>
        </w:rPr>
        <w:t>Numri i lëndës:</w:t>
      </w:r>
      <w:r w:rsidR="00975173">
        <w:rPr>
          <w:rFonts w:ascii="Arial" w:hAnsi="Arial" w:cs="Arial"/>
          <w:b/>
          <w:bCs/>
          <w:sz w:val="22"/>
          <w:szCs w:val="22"/>
          <w:lang w:val="sq-AL"/>
        </w:rPr>
        <w:t xml:space="preserve"> </w:t>
      </w:r>
      <w:r w:rsidR="00E41262">
        <w:rPr>
          <w:rFonts w:ascii="Arial" w:hAnsi="Arial" w:cs="Arial"/>
          <w:b/>
          <w:bCs/>
          <w:sz w:val="22"/>
          <w:szCs w:val="22"/>
          <w:lang w:val="sq-AL"/>
        </w:rPr>
        <w:t>2013-</w:t>
      </w:r>
      <w:r w:rsidR="006A2FF9">
        <w:rPr>
          <w:rFonts w:ascii="Arial" w:hAnsi="Arial" w:cs="Arial"/>
          <w:b/>
          <w:bCs/>
          <w:sz w:val="22"/>
          <w:szCs w:val="22"/>
          <w:lang w:val="sq-AL"/>
        </w:rPr>
        <w:t>01</w:t>
      </w:r>
    </w:p>
    <w:p w:rsidR="005B6143" w:rsidRDefault="005B6143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264A4" w:rsidRPr="00A15986" w:rsidRDefault="005264A4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DB6104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>
        <w:rPr>
          <w:rFonts w:ascii="Arial" w:hAnsi="Arial" w:cs="Arial"/>
          <w:b/>
          <w:bCs/>
          <w:sz w:val="22"/>
          <w:szCs w:val="22"/>
          <w:lang w:val="sq-AL"/>
        </w:rPr>
        <w:t>I.</w:t>
      </w:r>
    </w:p>
    <w:p w:rsidR="005B6143" w:rsidRPr="00A15986" w:rsidRDefault="005B6143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1C5D31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>
        <w:rPr>
          <w:rFonts w:ascii="Arial" w:hAnsi="Arial" w:cs="Arial"/>
          <w:b/>
          <w:bCs/>
          <w:sz w:val="22"/>
          <w:szCs w:val="22"/>
          <w:lang w:val="sq-AL"/>
        </w:rPr>
        <w:t>k</w:t>
      </w:r>
      <w:r w:rsidR="00A15986">
        <w:rPr>
          <w:rFonts w:ascii="Arial" w:hAnsi="Arial" w:cs="Arial"/>
          <w:b/>
          <w:bCs/>
          <w:sz w:val="22"/>
          <w:szCs w:val="22"/>
          <w:lang w:val="sq-AL"/>
        </w:rPr>
        <w:t>undër</w:t>
      </w:r>
    </w:p>
    <w:p w:rsidR="005B6143" w:rsidRPr="00A15986" w:rsidRDefault="005B6143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Default="005B6143" w:rsidP="00E76A43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A15986">
        <w:rPr>
          <w:rFonts w:ascii="Arial" w:hAnsi="Arial" w:cs="Arial"/>
          <w:b/>
          <w:bCs/>
          <w:sz w:val="22"/>
          <w:szCs w:val="22"/>
          <w:lang w:val="sq-AL"/>
        </w:rPr>
        <w:t>EULEX</w:t>
      </w:r>
      <w:r w:rsidR="000653BF">
        <w:rPr>
          <w:rFonts w:ascii="Arial" w:hAnsi="Arial" w:cs="Arial"/>
          <w:b/>
          <w:bCs/>
          <w:sz w:val="22"/>
          <w:szCs w:val="22"/>
          <w:lang w:val="sq-AL"/>
        </w:rPr>
        <w:t>-it</w:t>
      </w:r>
    </w:p>
    <w:p w:rsidR="006456F3" w:rsidRPr="00A15986" w:rsidRDefault="006456F3" w:rsidP="00A3074E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Pr="00A15986" w:rsidRDefault="005B6143" w:rsidP="00A3074E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5B6143" w:rsidRDefault="003B3C71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Paneli për Shqyrtimin e të Drejtave të Njeriut i mbledhur me </w:t>
      </w:r>
      <w:r w:rsidR="00230925">
        <w:rPr>
          <w:rFonts w:ascii="Arial" w:hAnsi="Arial" w:cs="Arial"/>
          <w:sz w:val="22"/>
          <w:szCs w:val="22"/>
          <w:lang w:val="sq-AL"/>
        </w:rPr>
        <w:t xml:space="preserve">27 </w:t>
      </w:r>
      <w:r w:rsidR="002C4D58">
        <w:rPr>
          <w:rFonts w:ascii="Arial" w:hAnsi="Arial" w:cs="Arial"/>
          <w:sz w:val="22"/>
          <w:szCs w:val="22"/>
          <w:lang w:val="sq-AL"/>
        </w:rPr>
        <w:t xml:space="preserve">nëntor </w:t>
      </w:r>
      <w:r w:rsidR="000C167E">
        <w:rPr>
          <w:rFonts w:ascii="Arial" w:hAnsi="Arial" w:cs="Arial"/>
          <w:sz w:val="22"/>
          <w:szCs w:val="22"/>
          <w:lang w:val="sq-AL"/>
        </w:rPr>
        <w:t>2013,</w:t>
      </w:r>
      <w:r w:rsidR="00BC0DBE">
        <w:rPr>
          <w:rFonts w:ascii="Arial" w:hAnsi="Arial" w:cs="Arial"/>
          <w:sz w:val="22"/>
          <w:szCs w:val="22"/>
          <w:lang w:val="sq-AL"/>
        </w:rPr>
        <w:t xml:space="preserve"> </w:t>
      </w:r>
      <w:r>
        <w:rPr>
          <w:rFonts w:ascii="Arial" w:hAnsi="Arial" w:cs="Arial"/>
          <w:sz w:val="22"/>
          <w:szCs w:val="22"/>
          <w:lang w:val="sq-AL"/>
        </w:rPr>
        <w:t>ku të pranishëm ishin anëtarët e paraqitur në vijim:</w:t>
      </w:r>
    </w:p>
    <w:p w:rsidR="003B3C71" w:rsidRPr="00A15986" w:rsidRDefault="003B3C71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r>
        <w:rPr>
          <w:rFonts w:ascii="Arial" w:hAnsi="Arial" w:cs="Arial"/>
          <w:sz w:val="22"/>
          <w:szCs w:val="22"/>
          <w:lang w:val="sq-AL"/>
        </w:rPr>
        <w:t>Znj</w:t>
      </w:r>
      <w:proofErr w:type="spellEnd"/>
      <w:r>
        <w:rPr>
          <w:rFonts w:ascii="Arial" w:hAnsi="Arial" w:cs="Arial"/>
          <w:sz w:val="22"/>
          <w:szCs w:val="22"/>
          <w:lang w:val="sq-AL"/>
        </w:rPr>
        <w:t xml:space="preserve">. </w:t>
      </w:r>
      <w:proofErr w:type="spellStart"/>
      <w:r w:rsidR="005B6143" w:rsidRPr="00A15986">
        <w:rPr>
          <w:rFonts w:ascii="Arial" w:hAnsi="Arial" w:cs="Arial"/>
          <w:sz w:val="22"/>
          <w:szCs w:val="22"/>
          <w:lang w:val="sq-AL"/>
        </w:rPr>
        <w:t>Magda</w:t>
      </w:r>
      <w:proofErr w:type="spellEnd"/>
      <w:r w:rsidR="005B6143" w:rsidRPr="00A15986">
        <w:rPr>
          <w:rFonts w:ascii="Arial" w:hAnsi="Arial" w:cs="Arial"/>
          <w:sz w:val="22"/>
          <w:szCs w:val="22"/>
          <w:lang w:val="sq-AL"/>
        </w:rPr>
        <w:t xml:space="preserve"> MIERZEWSKA, </w:t>
      </w:r>
      <w:r>
        <w:rPr>
          <w:rFonts w:ascii="Arial" w:hAnsi="Arial" w:cs="Arial"/>
          <w:sz w:val="22"/>
          <w:szCs w:val="22"/>
          <w:lang w:val="sq-AL"/>
        </w:rPr>
        <w:t>kryesuese</w:t>
      </w: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Z. </w:t>
      </w:r>
      <w:proofErr w:type="spellStart"/>
      <w:r w:rsidR="005B6143" w:rsidRPr="00A15986">
        <w:rPr>
          <w:rFonts w:ascii="Arial" w:hAnsi="Arial" w:cs="Arial"/>
          <w:sz w:val="22"/>
          <w:szCs w:val="22"/>
          <w:lang w:val="sq-AL"/>
        </w:rPr>
        <w:t>Guénaël</w:t>
      </w:r>
      <w:proofErr w:type="spellEnd"/>
      <w:r w:rsidR="005B6143" w:rsidRPr="00A15986">
        <w:rPr>
          <w:rFonts w:ascii="Arial" w:hAnsi="Arial" w:cs="Arial"/>
          <w:sz w:val="22"/>
          <w:szCs w:val="22"/>
          <w:lang w:val="sq-AL"/>
        </w:rPr>
        <w:t xml:space="preserve"> METTRAUX, </w:t>
      </w:r>
      <w:r>
        <w:rPr>
          <w:rFonts w:ascii="Arial" w:hAnsi="Arial" w:cs="Arial"/>
          <w:sz w:val="22"/>
          <w:szCs w:val="22"/>
          <w:lang w:val="sq-AL"/>
        </w:rPr>
        <w:t>anëtar</w:t>
      </w: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r>
        <w:rPr>
          <w:rFonts w:ascii="Arial" w:hAnsi="Arial" w:cs="Arial"/>
          <w:sz w:val="22"/>
          <w:szCs w:val="22"/>
          <w:lang w:val="sq-AL"/>
        </w:rPr>
        <w:t>Znj</w:t>
      </w:r>
      <w:proofErr w:type="spellEnd"/>
      <w:r>
        <w:rPr>
          <w:rFonts w:ascii="Arial" w:hAnsi="Arial" w:cs="Arial"/>
          <w:sz w:val="22"/>
          <w:szCs w:val="22"/>
          <w:lang w:val="sq-AL"/>
        </w:rPr>
        <w:t xml:space="preserve">. </w:t>
      </w:r>
      <w:r w:rsidR="005B6143" w:rsidRPr="00A15986">
        <w:rPr>
          <w:rFonts w:ascii="Arial" w:hAnsi="Arial" w:cs="Arial"/>
          <w:sz w:val="22"/>
          <w:szCs w:val="22"/>
          <w:lang w:val="sq-AL"/>
        </w:rPr>
        <w:t xml:space="preserve">Katja DOMINIK, </w:t>
      </w:r>
      <w:r>
        <w:rPr>
          <w:rFonts w:ascii="Arial" w:hAnsi="Arial" w:cs="Arial"/>
          <w:sz w:val="22"/>
          <w:szCs w:val="22"/>
          <w:lang w:val="sq-AL"/>
        </w:rPr>
        <w:t>anëtar</w:t>
      </w:r>
      <w:r w:rsidR="000C167E">
        <w:rPr>
          <w:rFonts w:ascii="Arial" w:hAnsi="Arial" w:cs="Arial"/>
          <w:sz w:val="22"/>
          <w:szCs w:val="22"/>
          <w:lang w:val="sq-AL"/>
        </w:rPr>
        <w:t>e</w:t>
      </w:r>
    </w:p>
    <w:p w:rsidR="005B6143" w:rsidRPr="00A15986" w:rsidRDefault="005B6143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Ndihmuar nga</w:t>
      </w: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Z. </w:t>
      </w:r>
      <w:r w:rsidR="005B6143" w:rsidRPr="00A15986">
        <w:rPr>
          <w:rFonts w:ascii="Arial" w:hAnsi="Arial" w:cs="Arial"/>
          <w:sz w:val="22"/>
          <w:szCs w:val="22"/>
          <w:lang w:val="sq-AL"/>
        </w:rPr>
        <w:t xml:space="preserve">John J. RYAN, </w:t>
      </w:r>
      <w:r>
        <w:rPr>
          <w:rFonts w:ascii="Arial" w:hAnsi="Arial" w:cs="Arial"/>
          <w:sz w:val="22"/>
          <w:szCs w:val="22"/>
          <w:lang w:val="sq-AL"/>
        </w:rPr>
        <w:t>zyrtar i lartë ligjor</w:t>
      </w: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proofErr w:type="spellStart"/>
      <w:r>
        <w:rPr>
          <w:rFonts w:ascii="Arial" w:hAnsi="Arial" w:cs="Arial"/>
          <w:sz w:val="22"/>
          <w:szCs w:val="22"/>
          <w:lang w:val="sq-AL"/>
        </w:rPr>
        <w:t>Znj</w:t>
      </w:r>
      <w:proofErr w:type="spellEnd"/>
      <w:r>
        <w:rPr>
          <w:rFonts w:ascii="Arial" w:hAnsi="Arial" w:cs="Arial"/>
          <w:sz w:val="22"/>
          <w:szCs w:val="22"/>
          <w:lang w:val="sq-AL"/>
        </w:rPr>
        <w:t xml:space="preserve">. </w:t>
      </w:r>
      <w:r w:rsidR="005B6143" w:rsidRPr="00A15986">
        <w:rPr>
          <w:rFonts w:ascii="Arial" w:hAnsi="Arial" w:cs="Arial"/>
          <w:sz w:val="22"/>
          <w:szCs w:val="22"/>
          <w:lang w:val="sq-AL"/>
        </w:rPr>
        <w:t xml:space="preserve">Joanna MARSZALIK, </w:t>
      </w:r>
      <w:r>
        <w:rPr>
          <w:rFonts w:ascii="Arial" w:hAnsi="Arial" w:cs="Arial"/>
          <w:sz w:val="22"/>
          <w:szCs w:val="22"/>
          <w:lang w:val="sq-AL"/>
        </w:rPr>
        <w:t>zyrtare ligjore</w:t>
      </w:r>
    </w:p>
    <w:p w:rsidR="005B6143" w:rsidRPr="00A15986" w:rsidRDefault="00F061FB" w:rsidP="00273923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Z. </w:t>
      </w:r>
      <w:r w:rsidR="005B6143" w:rsidRPr="00A15986">
        <w:rPr>
          <w:rFonts w:ascii="Arial" w:hAnsi="Arial" w:cs="Arial"/>
          <w:sz w:val="22"/>
          <w:szCs w:val="22"/>
          <w:lang w:val="sq-AL"/>
        </w:rPr>
        <w:t xml:space="preserve">Florian RAZESBERGER, </w:t>
      </w:r>
      <w:r>
        <w:rPr>
          <w:rFonts w:ascii="Arial" w:hAnsi="Arial" w:cs="Arial"/>
          <w:sz w:val="22"/>
          <w:szCs w:val="22"/>
          <w:lang w:val="sq-AL"/>
        </w:rPr>
        <w:t>zyrtar ligjor</w:t>
      </w:r>
    </w:p>
    <w:p w:rsidR="005B6143" w:rsidRPr="00A15986" w:rsidRDefault="005B6143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535FB2" w:rsidRDefault="00DF33D6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DF33D6">
        <w:rPr>
          <w:rFonts w:ascii="Arial" w:hAnsi="Arial" w:cs="Arial"/>
          <w:sz w:val="22"/>
          <w:szCs w:val="22"/>
          <w:lang w:val="sq-AL"/>
        </w:rPr>
        <w:t>Pas shqyrtimit të ankesë</w:t>
      </w:r>
      <w:r w:rsidR="00AB0556">
        <w:rPr>
          <w:rFonts w:ascii="Arial" w:hAnsi="Arial" w:cs="Arial"/>
          <w:sz w:val="22"/>
          <w:szCs w:val="22"/>
          <w:lang w:val="sq-AL"/>
        </w:rPr>
        <w:t xml:space="preserve">s së lartpërmendur, e cila 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është dorëzuar në përputhje me </w:t>
      </w:r>
      <w:r w:rsidR="001E1A9E">
        <w:rPr>
          <w:rFonts w:ascii="Arial" w:hAnsi="Arial" w:cs="Arial"/>
          <w:sz w:val="22"/>
          <w:szCs w:val="22"/>
          <w:lang w:val="sq-AL"/>
        </w:rPr>
        <w:t>v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eprimin e </w:t>
      </w:r>
      <w:r w:rsidR="001E1A9E">
        <w:rPr>
          <w:rFonts w:ascii="Arial" w:hAnsi="Arial" w:cs="Arial"/>
          <w:sz w:val="22"/>
          <w:szCs w:val="22"/>
          <w:lang w:val="sq-AL"/>
        </w:rPr>
        <w:t>p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ërbashkët të </w:t>
      </w:r>
      <w:r w:rsidR="001E1A9E">
        <w:rPr>
          <w:rFonts w:ascii="Arial" w:hAnsi="Arial" w:cs="Arial"/>
          <w:sz w:val="22"/>
          <w:szCs w:val="22"/>
          <w:lang w:val="sq-AL"/>
        </w:rPr>
        <w:t>k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ëshillit 2008/124/CFSP të datës 4 shkurt 2008, </w:t>
      </w:r>
      <w:r w:rsidR="001E1A9E">
        <w:rPr>
          <w:rFonts w:ascii="Arial" w:hAnsi="Arial" w:cs="Arial"/>
          <w:sz w:val="22"/>
          <w:szCs w:val="22"/>
          <w:lang w:val="sq-AL"/>
        </w:rPr>
        <w:t>k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onceptin </w:t>
      </w:r>
      <w:r w:rsidR="001E1A9E">
        <w:rPr>
          <w:rFonts w:ascii="Arial" w:hAnsi="Arial" w:cs="Arial"/>
          <w:sz w:val="22"/>
          <w:szCs w:val="22"/>
          <w:lang w:val="sq-AL"/>
        </w:rPr>
        <w:t>ll</w:t>
      </w:r>
      <w:r w:rsidRPr="00DF33D6">
        <w:rPr>
          <w:rFonts w:ascii="Arial" w:hAnsi="Arial" w:cs="Arial"/>
          <w:sz w:val="22"/>
          <w:szCs w:val="22"/>
          <w:lang w:val="sq-AL"/>
        </w:rPr>
        <w:t>ogaridhënës të EULEX-it të datës 29 tet</w:t>
      </w:r>
      <w:r w:rsidR="009B40A3">
        <w:rPr>
          <w:rFonts w:ascii="Arial" w:hAnsi="Arial" w:cs="Arial"/>
          <w:sz w:val="22"/>
          <w:szCs w:val="22"/>
          <w:lang w:val="sq-AL"/>
        </w:rPr>
        <w:t xml:space="preserve">or 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2009 </w:t>
      </w:r>
      <w:r w:rsidR="00622568">
        <w:rPr>
          <w:rFonts w:ascii="Arial" w:hAnsi="Arial" w:cs="Arial"/>
          <w:sz w:val="22"/>
          <w:szCs w:val="22"/>
          <w:lang w:val="sq-AL"/>
        </w:rPr>
        <w:t xml:space="preserve">mbi 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themelimin e Panelit për Shqyrtimin e të Drejtave të Njeriut dhe </w:t>
      </w:r>
      <w:r w:rsidR="00230925">
        <w:rPr>
          <w:rFonts w:ascii="Arial" w:hAnsi="Arial" w:cs="Arial"/>
          <w:sz w:val="22"/>
          <w:szCs w:val="22"/>
          <w:lang w:val="sq-AL"/>
        </w:rPr>
        <w:t>r</w:t>
      </w:r>
      <w:r w:rsidRPr="00DF33D6">
        <w:rPr>
          <w:rFonts w:ascii="Arial" w:hAnsi="Arial" w:cs="Arial"/>
          <w:sz w:val="22"/>
          <w:szCs w:val="22"/>
          <w:lang w:val="sq-AL"/>
        </w:rPr>
        <w:t xml:space="preserve">regullores së </w:t>
      </w:r>
      <w:r w:rsidR="00230925">
        <w:rPr>
          <w:rFonts w:ascii="Arial" w:hAnsi="Arial" w:cs="Arial"/>
          <w:sz w:val="22"/>
          <w:szCs w:val="22"/>
          <w:lang w:val="sq-AL"/>
        </w:rPr>
        <w:t>p</w:t>
      </w:r>
      <w:r w:rsidRPr="00DF33D6">
        <w:rPr>
          <w:rFonts w:ascii="Arial" w:hAnsi="Arial" w:cs="Arial"/>
          <w:sz w:val="22"/>
          <w:szCs w:val="22"/>
          <w:lang w:val="sq-AL"/>
        </w:rPr>
        <w:t>unë</w:t>
      </w:r>
      <w:r w:rsidR="003345B2">
        <w:rPr>
          <w:rFonts w:ascii="Arial" w:hAnsi="Arial" w:cs="Arial"/>
          <w:sz w:val="22"/>
          <w:szCs w:val="22"/>
          <w:lang w:val="sq-AL"/>
        </w:rPr>
        <w:t xml:space="preserve">s </w:t>
      </w:r>
      <w:r w:rsidR="007003DF">
        <w:rPr>
          <w:rFonts w:ascii="Arial" w:hAnsi="Arial" w:cs="Arial"/>
          <w:sz w:val="22"/>
          <w:szCs w:val="22"/>
          <w:lang w:val="sq-AL"/>
        </w:rPr>
        <w:t xml:space="preserve">së Panelit </w:t>
      </w:r>
      <w:r w:rsidR="00975173" w:rsidRPr="00975173">
        <w:rPr>
          <w:rFonts w:ascii="Arial" w:hAnsi="Arial" w:cs="Arial"/>
          <w:sz w:val="22"/>
          <w:szCs w:val="22"/>
          <w:lang w:val="sq-AL"/>
        </w:rPr>
        <w:t>siç është ndryshuar së fundi më 15 janar 2013,</w:t>
      </w:r>
    </w:p>
    <w:p w:rsidR="00975173" w:rsidRDefault="00975173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DF33D6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DF33D6">
        <w:rPr>
          <w:rFonts w:ascii="Arial" w:hAnsi="Arial" w:cs="Arial"/>
          <w:sz w:val="22"/>
          <w:szCs w:val="22"/>
          <w:lang w:val="sq-AL"/>
        </w:rPr>
        <w:t>Pas shqyrtimit, u vendos si në vijim:</w:t>
      </w:r>
    </w:p>
    <w:p w:rsidR="005B6143" w:rsidRPr="00A15986" w:rsidRDefault="005B6143" w:rsidP="00A3074E">
      <w:pPr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5B6143" w:rsidP="000C31C6">
      <w:pPr>
        <w:jc w:val="center"/>
        <w:rPr>
          <w:b/>
          <w:lang w:val="sq-AL"/>
        </w:rPr>
      </w:pPr>
    </w:p>
    <w:p w:rsidR="005B6143" w:rsidRDefault="005B6143" w:rsidP="00032284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A15986">
        <w:rPr>
          <w:rFonts w:ascii="Arial" w:hAnsi="Arial" w:cs="Arial"/>
          <w:b/>
          <w:bCs/>
          <w:sz w:val="22"/>
          <w:szCs w:val="22"/>
          <w:lang w:val="sq-AL"/>
        </w:rPr>
        <w:t xml:space="preserve">I. </w:t>
      </w:r>
      <w:r w:rsidR="00DF33D6" w:rsidRPr="00DF33D6">
        <w:rPr>
          <w:rFonts w:ascii="Arial" w:hAnsi="Arial" w:cs="Arial"/>
          <w:b/>
          <w:bCs/>
          <w:sz w:val="22"/>
          <w:szCs w:val="22"/>
          <w:lang w:val="sq-AL"/>
        </w:rPr>
        <w:t xml:space="preserve">PROCEDURAT </w:t>
      </w:r>
      <w:r w:rsidR="00DC2AF4">
        <w:rPr>
          <w:rFonts w:ascii="Arial" w:hAnsi="Arial" w:cs="Arial"/>
          <w:b/>
          <w:bCs/>
          <w:sz w:val="22"/>
          <w:szCs w:val="22"/>
          <w:lang w:val="sq-AL"/>
        </w:rPr>
        <w:t>PRAN</w:t>
      </w:r>
      <w:r w:rsidR="00DC2AF4" w:rsidRPr="00DC2AF4">
        <w:rPr>
          <w:rFonts w:ascii="Arial" w:hAnsi="Arial" w:cs="Arial"/>
          <w:b/>
          <w:bCs/>
          <w:sz w:val="22"/>
          <w:szCs w:val="22"/>
          <w:lang w:val="sq-AL"/>
        </w:rPr>
        <w:t>Ë</w:t>
      </w:r>
      <w:r w:rsidR="00DC2AF4">
        <w:rPr>
          <w:rFonts w:ascii="Arial" w:hAnsi="Arial" w:cs="Arial"/>
          <w:b/>
          <w:bCs/>
          <w:sz w:val="22"/>
          <w:szCs w:val="22"/>
          <w:lang w:val="sq-AL"/>
        </w:rPr>
        <w:t xml:space="preserve"> </w:t>
      </w:r>
      <w:r w:rsidR="00DF33D6" w:rsidRPr="00DF33D6">
        <w:rPr>
          <w:rFonts w:ascii="Arial" w:hAnsi="Arial" w:cs="Arial"/>
          <w:b/>
          <w:bCs/>
          <w:sz w:val="22"/>
          <w:szCs w:val="22"/>
          <w:lang w:val="sq-AL"/>
        </w:rPr>
        <w:t>PANELIT</w:t>
      </w:r>
    </w:p>
    <w:p w:rsidR="00DF33D6" w:rsidRPr="00A15986" w:rsidRDefault="00DF33D6" w:rsidP="00032284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B6341C" w:rsidRDefault="00DB6104" w:rsidP="00C479BC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Kjo lëndë 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është regjistruar në Panel më 24 </w:t>
      </w:r>
      <w:r w:rsidR="001E1A9E">
        <w:rPr>
          <w:rFonts w:ascii="Arial" w:hAnsi="Arial" w:cs="Arial"/>
          <w:sz w:val="22"/>
          <w:szCs w:val="22"/>
          <w:lang w:val="sq-AL"/>
        </w:rPr>
        <w:t xml:space="preserve">janar 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2013. Ankuesi </w:t>
      </w:r>
      <w:r>
        <w:rPr>
          <w:rFonts w:ascii="Arial" w:hAnsi="Arial" w:cs="Arial"/>
          <w:sz w:val="22"/>
          <w:szCs w:val="22"/>
          <w:lang w:val="sq-AL"/>
        </w:rPr>
        <w:t xml:space="preserve">ka </w:t>
      </w:r>
      <w:r w:rsidR="00C479BC" w:rsidRPr="00C479BC">
        <w:rPr>
          <w:rFonts w:ascii="Arial" w:hAnsi="Arial" w:cs="Arial"/>
          <w:sz w:val="22"/>
          <w:szCs w:val="22"/>
          <w:lang w:val="sq-AL"/>
        </w:rPr>
        <w:t>kundërsht</w:t>
      </w:r>
      <w:r>
        <w:rPr>
          <w:rFonts w:ascii="Arial" w:hAnsi="Arial" w:cs="Arial"/>
          <w:sz w:val="22"/>
          <w:szCs w:val="22"/>
          <w:lang w:val="sq-AL"/>
        </w:rPr>
        <w:t xml:space="preserve">uar 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që </w:t>
      </w:r>
      <w:r>
        <w:rPr>
          <w:rFonts w:ascii="Arial" w:hAnsi="Arial" w:cs="Arial"/>
          <w:sz w:val="22"/>
          <w:szCs w:val="22"/>
          <w:lang w:val="sq-AL"/>
        </w:rPr>
        <w:t>e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mri i tij/saj </w:t>
      </w:r>
      <w:r>
        <w:rPr>
          <w:rFonts w:ascii="Arial" w:hAnsi="Arial" w:cs="Arial"/>
          <w:sz w:val="22"/>
          <w:szCs w:val="22"/>
          <w:lang w:val="sq-AL"/>
        </w:rPr>
        <w:t xml:space="preserve">të bëhet publik 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për shkak të shqetësimeve </w:t>
      </w:r>
      <w:r>
        <w:rPr>
          <w:rFonts w:ascii="Arial" w:hAnsi="Arial" w:cs="Arial"/>
          <w:sz w:val="22"/>
          <w:szCs w:val="22"/>
          <w:lang w:val="sq-AL"/>
        </w:rPr>
        <w:t xml:space="preserve">lidhur me </w:t>
      </w:r>
      <w:r w:rsidR="00C479BC">
        <w:rPr>
          <w:rFonts w:ascii="Arial" w:hAnsi="Arial" w:cs="Arial"/>
          <w:sz w:val="22"/>
          <w:szCs w:val="22"/>
          <w:lang w:val="sq-AL"/>
        </w:rPr>
        <w:t>sigurinë e ti</w:t>
      </w:r>
      <w:r>
        <w:rPr>
          <w:rFonts w:ascii="Arial" w:hAnsi="Arial" w:cs="Arial"/>
          <w:sz w:val="22"/>
          <w:szCs w:val="22"/>
          <w:lang w:val="sq-AL"/>
        </w:rPr>
        <w:t>j</w:t>
      </w:r>
      <w:r w:rsidR="00C479BC">
        <w:rPr>
          <w:rFonts w:ascii="Arial" w:hAnsi="Arial" w:cs="Arial"/>
          <w:sz w:val="22"/>
          <w:szCs w:val="22"/>
          <w:lang w:val="sq-AL"/>
        </w:rPr>
        <w:t>/saj personal</w:t>
      </w:r>
      <w:r>
        <w:rPr>
          <w:rFonts w:ascii="Arial" w:hAnsi="Arial" w:cs="Arial"/>
          <w:sz w:val="22"/>
          <w:szCs w:val="22"/>
          <w:lang w:val="sq-AL"/>
        </w:rPr>
        <w:t>e.</w:t>
      </w:r>
    </w:p>
    <w:p w:rsidR="00C479BC" w:rsidRPr="009B40A3" w:rsidRDefault="00C479BC" w:rsidP="00C479BC">
      <w:pPr>
        <w:suppressAutoHyphens/>
        <w:autoSpaceDE w:val="0"/>
        <w:ind w:left="720"/>
        <w:jc w:val="both"/>
        <w:rPr>
          <w:rFonts w:ascii="Arial" w:hAnsi="Arial" w:cs="Arial"/>
          <w:sz w:val="22"/>
          <w:szCs w:val="22"/>
          <w:lang w:val="sq-AL"/>
        </w:rPr>
      </w:pPr>
    </w:p>
    <w:p w:rsidR="005B6143" w:rsidRPr="00A15986" w:rsidRDefault="005B6143" w:rsidP="00A3074E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A15986">
        <w:rPr>
          <w:rFonts w:ascii="Arial" w:hAnsi="Arial" w:cs="Arial"/>
          <w:b/>
          <w:bCs/>
          <w:sz w:val="22"/>
          <w:szCs w:val="22"/>
          <w:lang w:val="sq-AL"/>
        </w:rPr>
        <w:lastRenderedPageBreak/>
        <w:t xml:space="preserve">II. </w:t>
      </w:r>
      <w:r w:rsidR="00E65183">
        <w:rPr>
          <w:rFonts w:ascii="Arial" w:hAnsi="Arial" w:cs="Arial"/>
          <w:b/>
          <w:bCs/>
          <w:sz w:val="22"/>
          <w:szCs w:val="22"/>
          <w:lang w:val="sq-AL"/>
        </w:rPr>
        <w:t>FAKTET</w:t>
      </w:r>
    </w:p>
    <w:p w:rsidR="005B6143" w:rsidRPr="00A15986" w:rsidRDefault="005B6143" w:rsidP="00A3074E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303398" w:rsidRDefault="00303398" w:rsidP="00C479BC">
      <w:pPr>
        <w:suppressAutoHyphens/>
        <w:jc w:val="both"/>
        <w:rPr>
          <w:rFonts w:ascii="Arial" w:hAnsi="Arial"/>
          <w:sz w:val="22"/>
          <w:szCs w:val="22"/>
          <w:lang w:val="sq-AL"/>
        </w:rPr>
      </w:pPr>
      <w:r w:rsidRPr="00C479BC">
        <w:rPr>
          <w:rFonts w:ascii="Arial" w:hAnsi="Arial"/>
          <w:sz w:val="22"/>
          <w:szCs w:val="22"/>
          <w:lang w:val="sq-AL"/>
        </w:rPr>
        <w:t xml:space="preserve">Faktet </w:t>
      </w:r>
      <w:r w:rsidR="00230925" w:rsidRPr="00C479BC">
        <w:rPr>
          <w:rFonts w:ascii="Arial" w:hAnsi="Arial"/>
          <w:sz w:val="22"/>
          <w:szCs w:val="22"/>
          <w:lang w:val="sq-AL"/>
        </w:rPr>
        <w:t xml:space="preserve">e mëposhtme </w:t>
      </w:r>
      <w:r w:rsidR="00565F57">
        <w:rPr>
          <w:rFonts w:ascii="Arial" w:hAnsi="Arial"/>
          <w:sz w:val="22"/>
          <w:szCs w:val="22"/>
          <w:lang w:val="sq-AL"/>
        </w:rPr>
        <w:t xml:space="preserve">paraqiten </w:t>
      </w:r>
      <w:r w:rsidR="00D15630" w:rsidRPr="00C479BC">
        <w:rPr>
          <w:rFonts w:ascii="Arial" w:hAnsi="Arial"/>
          <w:sz w:val="22"/>
          <w:szCs w:val="22"/>
          <w:lang w:val="sq-AL"/>
        </w:rPr>
        <w:t>në b</w:t>
      </w:r>
      <w:r w:rsidR="00230925" w:rsidRPr="00C479BC">
        <w:rPr>
          <w:rFonts w:ascii="Arial" w:hAnsi="Arial"/>
          <w:sz w:val="22"/>
          <w:szCs w:val="22"/>
          <w:lang w:val="sq-AL"/>
        </w:rPr>
        <w:t xml:space="preserve">azë të informatave që </w:t>
      </w:r>
      <w:r w:rsidRPr="00C479BC">
        <w:rPr>
          <w:rFonts w:ascii="Arial" w:hAnsi="Arial"/>
          <w:sz w:val="22"/>
          <w:szCs w:val="22"/>
          <w:lang w:val="sq-AL"/>
        </w:rPr>
        <w:t>ankue</w:t>
      </w:r>
      <w:r w:rsidR="00230925" w:rsidRPr="00C479BC">
        <w:rPr>
          <w:rFonts w:ascii="Arial" w:hAnsi="Arial"/>
          <w:sz w:val="22"/>
          <w:szCs w:val="22"/>
          <w:lang w:val="sq-AL"/>
        </w:rPr>
        <w:t>si/ankuesja</w:t>
      </w:r>
      <w:r w:rsidR="003E496A">
        <w:rPr>
          <w:rFonts w:ascii="Arial" w:hAnsi="Arial"/>
          <w:sz w:val="22"/>
          <w:szCs w:val="22"/>
          <w:lang w:val="sq-AL"/>
        </w:rPr>
        <w:t xml:space="preserve"> i ka parashtruar në Panel.</w:t>
      </w:r>
    </w:p>
    <w:p w:rsidR="00465D7A" w:rsidRPr="00C479BC" w:rsidRDefault="00465D7A" w:rsidP="00C479BC">
      <w:pPr>
        <w:suppressAutoHyphens/>
        <w:jc w:val="both"/>
        <w:rPr>
          <w:rFonts w:ascii="Arial" w:hAnsi="Arial"/>
          <w:sz w:val="22"/>
          <w:szCs w:val="22"/>
          <w:lang w:val="sq-AL"/>
        </w:rPr>
      </w:pPr>
    </w:p>
    <w:p w:rsidR="00230925" w:rsidRPr="00230925" w:rsidRDefault="00C479BC" w:rsidP="00C479BC">
      <w:pPr>
        <w:pStyle w:val="ListParagraph"/>
        <w:numPr>
          <w:ilvl w:val="0"/>
          <w:numId w:val="15"/>
        </w:numPr>
        <w:jc w:val="both"/>
        <w:rPr>
          <w:rFonts w:ascii="Arial" w:hAnsi="Arial"/>
          <w:sz w:val="22"/>
          <w:szCs w:val="22"/>
          <w:lang w:val="sq-AL"/>
        </w:rPr>
      </w:pPr>
      <w:r w:rsidRPr="00C479BC">
        <w:rPr>
          <w:rFonts w:ascii="Arial" w:hAnsi="Arial"/>
          <w:sz w:val="22"/>
          <w:szCs w:val="22"/>
          <w:lang w:val="sq-AL"/>
        </w:rPr>
        <w:t>Ankuesi pohon se</w:t>
      </w:r>
      <w:r w:rsidR="00CF1BD4">
        <w:rPr>
          <w:rFonts w:ascii="Arial" w:hAnsi="Arial"/>
          <w:sz w:val="22"/>
          <w:szCs w:val="22"/>
          <w:lang w:val="sq-AL"/>
        </w:rPr>
        <w:t xml:space="preserve"> </w:t>
      </w:r>
      <w:r w:rsidRPr="00C479BC">
        <w:rPr>
          <w:rFonts w:ascii="Arial" w:hAnsi="Arial"/>
          <w:sz w:val="22"/>
          <w:szCs w:val="22"/>
          <w:lang w:val="sq-AL"/>
        </w:rPr>
        <w:t>në qershor 2011</w:t>
      </w:r>
      <w:r w:rsidR="00CF1BD4">
        <w:rPr>
          <w:rFonts w:ascii="Arial" w:hAnsi="Arial"/>
          <w:sz w:val="22"/>
          <w:szCs w:val="22"/>
          <w:lang w:val="sq-AL"/>
        </w:rPr>
        <w:t xml:space="preserve"> ai</w:t>
      </w:r>
      <w:r w:rsidRPr="00C479BC">
        <w:rPr>
          <w:rFonts w:ascii="Arial" w:hAnsi="Arial"/>
          <w:sz w:val="22"/>
          <w:szCs w:val="22"/>
          <w:lang w:val="sq-AL"/>
        </w:rPr>
        <w:t xml:space="preserve">/ajo së bashku me 617 qytetarë nga komuna e </w:t>
      </w:r>
      <w:proofErr w:type="spellStart"/>
      <w:r w:rsidRPr="00C479BC">
        <w:rPr>
          <w:rFonts w:ascii="Arial" w:hAnsi="Arial"/>
          <w:sz w:val="22"/>
          <w:szCs w:val="22"/>
          <w:lang w:val="sq-AL"/>
        </w:rPr>
        <w:t>Kllokotit</w:t>
      </w:r>
      <w:proofErr w:type="spellEnd"/>
      <w:r w:rsidRPr="00C479BC">
        <w:rPr>
          <w:rFonts w:ascii="Arial" w:hAnsi="Arial"/>
          <w:sz w:val="22"/>
          <w:szCs w:val="22"/>
          <w:lang w:val="sq-AL"/>
        </w:rPr>
        <w:t xml:space="preserve"> </w:t>
      </w:r>
      <w:r w:rsidR="00CF1BD4">
        <w:rPr>
          <w:rFonts w:ascii="Arial" w:hAnsi="Arial"/>
          <w:sz w:val="22"/>
          <w:szCs w:val="22"/>
          <w:lang w:val="sq-AL"/>
        </w:rPr>
        <w:t xml:space="preserve">kanë parashtruar një peticion </w:t>
      </w:r>
      <w:r w:rsidRPr="00C479BC">
        <w:rPr>
          <w:rFonts w:ascii="Arial" w:hAnsi="Arial"/>
          <w:sz w:val="22"/>
          <w:szCs w:val="22"/>
          <w:lang w:val="sq-AL"/>
        </w:rPr>
        <w:t>kundër kryetarit të komunë</w:t>
      </w:r>
      <w:r w:rsidR="00CF1BD4">
        <w:rPr>
          <w:rFonts w:ascii="Arial" w:hAnsi="Arial"/>
          <w:sz w:val="22"/>
          <w:szCs w:val="22"/>
          <w:lang w:val="sq-AL"/>
        </w:rPr>
        <w:t xml:space="preserve">s. </w:t>
      </w:r>
      <w:r w:rsidRPr="00C479BC">
        <w:rPr>
          <w:rFonts w:ascii="Arial" w:hAnsi="Arial"/>
          <w:sz w:val="22"/>
          <w:szCs w:val="22"/>
          <w:lang w:val="sq-AL"/>
        </w:rPr>
        <w:t xml:space="preserve">Peticioni </w:t>
      </w:r>
      <w:r w:rsidR="00CF1BD4">
        <w:rPr>
          <w:rFonts w:ascii="Arial" w:hAnsi="Arial"/>
          <w:sz w:val="22"/>
          <w:szCs w:val="22"/>
          <w:lang w:val="sq-AL"/>
        </w:rPr>
        <w:t xml:space="preserve">iu ishte drejtuar </w:t>
      </w:r>
      <w:r w:rsidR="009B55E9">
        <w:rPr>
          <w:rFonts w:ascii="Arial" w:hAnsi="Arial"/>
          <w:sz w:val="22"/>
          <w:szCs w:val="22"/>
          <w:lang w:val="sq-AL"/>
        </w:rPr>
        <w:t>m</w:t>
      </w:r>
      <w:r w:rsidRPr="00C479BC">
        <w:rPr>
          <w:rFonts w:ascii="Arial" w:hAnsi="Arial"/>
          <w:sz w:val="22"/>
          <w:szCs w:val="22"/>
          <w:lang w:val="sq-AL"/>
        </w:rPr>
        <w:t xml:space="preserve">inistrisë së </w:t>
      </w:r>
      <w:r w:rsidR="009B55E9">
        <w:rPr>
          <w:rFonts w:ascii="Arial" w:hAnsi="Arial"/>
          <w:sz w:val="22"/>
          <w:szCs w:val="22"/>
          <w:lang w:val="sq-AL"/>
        </w:rPr>
        <w:t>v</w:t>
      </w:r>
      <w:r w:rsidRPr="00C479BC">
        <w:rPr>
          <w:rFonts w:ascii="Arial" w:hAnsi="Arial"/>
          <w:sz w:val="22"/>
          <w:szCs w:val="22"/>
          <w:lang w:val="sq-AL"/>
        </w:rPr>
        <w:t xml:space="preserve">etëqeverisjes </w:t>
      </w:r>
      <w:r w:rsidR="009B55E9">
        <w:rPr>
          <w:rFonts w:ascii="Arial" w:hAnsi="Arial"/>
          <w:sz w:val="22"/>
          <w:szCs w:val="22"/>
          <w:lang w:val="sq-AL"/>
        </w:rPr>
        <w:t>l</w:t>
      </w:r>
      <w:r w:rsidRPr="00C479BC">
        <w:rPr>
          <w:rFonts w:ascii="Arial" w:hAnsi="Arial"/>
          <w:sz w:val="22"/>
          <w:szCs w:val="22"/>
          <w:lang w:val="sq-AL"/>
        </w:rPr>
        <w:t xml:space="preserve">okale dhe </w:t>
      </w:r>
      <w:r w:rsidR="00CF1BD4">
        <w:rPr>
          <w:rFonts w:ascii="Arial" w:hAnsi="Arial"/>
          <w:sz w:val="22"/>
          <w:szCs w:val="22"/>
          <w:lang w:val="sq-AL"/>
        </w:rPr>
        <w:t xml:space="preserve">kishte të bënte me </w:t>
      </w:r>
      <w:r w:rsidRPr="00C479BC">
        <w:rPr>
          <w:rFonts w:ascii="Arial" w:hAnsi="Arial"/>
          <w:sz w:val="22"/>
          <w:szCs w:val="22"/>
          <w:lang w:val="sq-AL"/>
        </w:rPr>
        <w:t xml:space="preserve">akuzat për korrupsion kundër zyrtarëve </w:t>
      </w:r>
      <w:r w:rsidR="00CF1BD4">
        <w:rPr>
          <w:rFonts w:ascii="Arial" w:hAnsi="Arial"/>
          <w:sz w:val="22"/>
          <w:szCs w:val="22"/>
          <w:lang w:val="sq-AL"/>
        </w:rPr>
        <w:t>komunal</w:t>
      </w:r>
      <w:r w:rsidR="009C0F0F" w:rsidRPr="009C0F0F">
        <w:rPr>
          <w:rFonts w:ascii="Arial" w:hAnsi="Arial"/>
          <w:sz w:val="22"/>
          <w:szCs w:val="22"/>
          <w:lang w:val="sq-AL"/>
        </w:rPr>
        <w:t xml:space="preserve"> </w:t>
      </w:r>
      <w:r w:rsidR="009C0F0F">
        <w:rPr>
          <w:rFonts w:ascii="Arial" w:hAnsi="Arial"/>
          <w:sz w:val="22"/>
          <w:szCs w:val="22"/>
          <w:lang w:val="sq-AL"/>
        </w:rPr>
        <w:t>vendorë</w:t>
      </w:r>
      <w:r w:rsidR="00CF1BD4">
        <w:rPr>
          <w:rFonts w:ascii="Arial" w:hAnsi="Arial"/>
          <w:sz w:val="22"/>
          <w:szCs w:val="22"/>
          <w:lang w:val="sq-AL"/>
        </w:rPr>
        <w:t>.</w:t>
      </w:r>
    </w:p>
    <w:p w:rsidR="00230925" w:rsidRPr="0036223E" w:rsidRDefault="00230925" w:rsidP="0036223E">
      <w:pPr>
        <w:pStyle w:val="ListParagraph"/>
        <w:rPr>
          <w:rFonts w:ascii="Arial" w:hAnsi="Arial"/>
          <w:sz w:val="22"/>
          <w:szCs w:val="22"/>
          <w:lang w:val="sq-AL"/>
        </w:rPr>
      </w:pPr>
    </w:p>
    <w:p w:rsidR="00077653" w:rsidRDefault="00C479BC" w:rsidP="00C479BC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  <w:lang w:val="sq-AL"/>
        </w:rPr>
      </w:pPr>
      <w:r w:rsidRPr="00C479BC">
        <w:rPr>
          <w:rFonts w:ascii="Arial" w:hAnsi="Arial"/>
          <w:sz w:val="22"/>
          <w:szCs w:val="22"/>
          <w:lang w:val="sq-AL"/>
        </w:rPr>
        <w:t>Në të njëjtën ko</w:t>
      </w:r>
      <w:r w:rsidR="005927F3">
        <w:rPr>
          <w:rFonts w:ascii="Arial" w:hAnsi="Arial"/>
          <w:sz w:val="22"/>
          <w:szCs w:val="22"/>
          <w:lang w:val="sq-AL"/>
        </w:rPr>
        <w:t xml:space="preserve">hë, </w:t>
      </w:r>
      <w:r w:rsidRPr="00C479BC">
        <w:rPr>
          <w:rFonts w:ascii="Arial" w:hAnsi="Arial"/>
          <w:sz w:val="22"/>
          <w:szCs w:val="22"/>
          <w:lang w:val="sq-AL"/>
        </w:rPr>
        <w:t xml:space="preserve">ankuesi së bashku me persona të tjerë </w:t>
      </w:r>
      <w:r w:rsidR="005927F3">
        <w:rPr>
          <w:rFonts w:ascii="Arial" w:hAnsi="Arial"/>
          <w:sz w:val="22"/>
          <w:szCs w:val="22"/>
          <w:lang w:val="sq-AL"/>
        </w:rPr>
        <w:t>ka</w:t>
      </w:r>
      <w:r w:rsidR="009B55E9">
        <w:rPr>
          <w:rFonts w:ascii="Arial" w:hAnsi="Arial"/>
          <w:sz w:val="22"/>
          <w:szCs w:val="22"/>
          <w:lang w:val="sq-AL"/>
        </w:rPr>
        <w:t>në</w:t>
      </w:r>
      <w:r w:rsidR="005927F3">
        <w:rPr>
          <w:rFonts w:ascii="Arial" w:hAnsi="Arial"/>
          <w:sz w:val="22"/>
          <w:szCs w:val="22"/>
          <w:lang w:val="sq-AL"/>
        </w:rPr>
        <w:t xml:space="preserve"> parashtruar kallëzim</w:t>
      </w:r>
      <w:r w:rsidR="009B55E9">
        <w:rPr>
          <w:rFonts w:ascii="Arial" w:hAnsi="Arial"/>
          <w:sz w:val="22"/>
          <w:szCs w:val="22"/>
          <w:lang w:val="sq-AL"/>
        </w:rPr>
        <w:t>e</w:t>
      </w:r>
      <w:r w:rsidR="005927F3">
        <w:rPr>
          <w:rFonts w:ascii="Arial" w:hAnsi="Arial"/>
          <w:sz w:val="22"/>
          <w:szCs w:val="22"/>
          <w:lang w:val="sq-AL"/>
        </w:rPr>
        <w:t xml:space="preserve"> penal</w:t>
      </w:r>
      <w:r w:rsidR="009B55E9">
        <w:rPr>
          <w:rFonts w:ascii="Arial" w:hAnsi="Arial"/>
          <w:sz w:val="22"/>
          <w:szCs w:val="22"/>
          <w:lang w:val="sq-AL"/>
        </w:rPr>
        <w:t>e</w:t>
      </w:r>
      <w:r w:rsidR="005927F3">
        <w:rPr>
          <w:rFonts w:ascii="Arial" w:hAnsi="Arial"/>
          <w:sz w:val="22"/>
          <w:szCs w:val="22"/>
          <w:lang w:val="sq-AL"/>
        </w:rPr>
        <w:t xml:space="preserve"> lidhur me </w:t>
      </w:r>
      <w:r w:rsidRPr="00C479BC">
        <w:rPr>
          <w:rFonts w:ascii="Arial" w:hAnsi="Arial"/>
          <w:sz w:val="22"/>
          <w:szCs w:val="22"/>
          <w:lang w:val="sq-AL"/>
        </w:rPr>
        <w:t xml:space="preserve">akuzat për korrupsion kundër kryetarit të komunës së </w:t>
      </w:r>
      <w:proofErr w:type="spellStart"/>
      <w:r w:rsidRPr="00C479BC">
        <w:rPr>
          <w:rFonts w:ascii="Arial" w:hAnsi="Arial"/>
          <w:sz w:val="22"/>
          <w:szCs w:val="22"/>
          <w:lang w:val="sq-AL"/>
        </w:rPr>
        <w:t>Kllokotit</w:t>
      </w:r>
      <w:proofErr w:type="spellEnd"/>
      <w:r w:rsidRPr="00C479BC">
        <w:rPr>
          <w:rFonts w:ascii="Arial" w:hAnsi="Arial"/>
          <w:sz w:val="22"/>
          <w:szCs w:val="22"/>
          <w:lang w:val="sq-AL"/>
        </w:rPr>
        <w:t xml:space="preserve"> </w:t>
      </w:r>
      <w:r w:rsidR="005927F3">
        <w:rPr>
          <w:rFonts w:ascii="Arial" w:hAnsi="Arial"/>
          <w:sz w:val="22"/>
          <w:szCs w:val="22"/>
          <w:lang w:val="sq-AL"/>
        </w:rPr>
        <w:t xml:space="preserve">në zyrën e </w:t>
      </w:r>
      <w:r w:rsidR="00974F08">
        <w:rPr>
          <w:rFonts w:ascii="Arial" w:hAnsi="Arial"/>
          <w:sz w:val="22"/>
          <w:szCs w:val="22"/>
          <w:lang w:val="sq-AL"/>
        </w:rPr>
        <w:t>p</w:t>
      </w:r>
      <w:r w:rsidRPr="00C479BC">
        <w:rPr>
          <w:rFonts w:ascii="Arial" w:hAnsi="Arial"/>
          <w:sz w:val="22"/>
          <w:szCs w:val="22"/>
          <w:lang w:val="sq-AL"/>
        </w:rPr>
        <w:t>rokuror</w:t>
      </w:r>
      <w:r w:rsidR="005927F3">
        <w:rPr>
          <w:rFonts w:ascii="Arial" w:hAnsi="Arial"/>
          <w:sz w:val="22"/>
          <w:szCs w:val="22"/>
          <w:lang w:val="sq-AL"/>
        </w:rPr>
        <w:t xml:space="preserve">isë së </w:t>
      </w:r>
      <w:r w:rsidR="00974F08">
        <w:rPr>
          <w:rFonts w:ascii="Arial" w:hAnsi="Arial"/>
          <w:sz w:val="22"/>
          <w:szCs w:val="22"/>
          <w:lang w:val="sq-AL"/>
        </w:rPr>
        <w:t>q</w:t>
      </w:r>
      <w:r w:rsidRPr="00C479BC">
        <w:rPr>
          <w:rFonts w:ascii="Arial" w:hAnsi="Arial"/>
          <w:sz w:val="22"/>
          <w:szCs w:val="22"/>
          <w:lang w:val="sq-AL"/>
        </w:rPr>
        <w:t>arkut në Gjilan</w:t>
      </w:r>
      <w:r w:rsidR="005927F3">
        <w:rPr>
          <w:rFonts w:ascii="Arial" w:hAnsi="Arial"/>
          <w:sz w:val="22"/>
          <w:szCs w:val="22"/>
          <w:lang w:val="sq-AL"/>
        </w:rPr>
        <w:t xml:space="preserve">. </w:t>
      </w:r>
      <w:r w:rsidRPr="00C479BC">
        <w:rPr>
          <w:rFonts w:ascii="Arial" w:hAnsi="Arial"/>
          <w:sz w:val="22"/>
          <w:szCs w:val="22"/>
          <w:lang w:val="sq-AL"/>
        </w:rPr>
        <w:t xml:space="preserve">Ankuesi pohon se ata </w:t>
      </w:r>
      <w:r w:rsidR="007A38ED">
        <w:rPr>
          <w:rFonts w:ascii="Arial" w:hAnsi="Arial"/>
          <w:sz w:val="22"/>
          <w:szCs w:val="22"/>
          <w:lang w:val="sq-AL"/>
        </w:rPr>
        <w:t xml:space="preserve">kanë ofruar </w:t>
      </w:r>
      <w:r w:rsidR="009762B8">
        <w:rPr>
          <w:rFonts w:ascii="Arial" w:hAnsi="Arial"/>
          <w:sz w:val="22"/>
          <w:szCs w:val="22"/>
          <w:lang w:val="sq-AL"/>
        </w:rPr>
        <w:t>një numër të konsiderueshëm të dëshmive “</w:t>
      </w:r>
      <w:r w:rsidRPr="00717657">
        <w:rPr>
          <w:rFonts w:ascii="Arial" w:hAnsi="Arial"/>
          <w:i/>
          <w:sz w:val="22"/>
          <w:szCs w:val="22"/>
          <w:lang w:val="sq-AL"/>
        </w:rPr>
        <w:t xml:space="preserve">që konfirmon keqpërdorimin e pozitës zyrtare të kryetarit të komunës së </w:t>
      </w:r>
      <w:proofErr w:type="spellStart"/>
      <w:r w:rsidRPr="00717657">
        <w:rPr>
          <w:rFonts w:ascii="Arial" w:hAnsi="Arial"/>
          <w:i/>
          <w:sz w:val="22"/>
          <w:szCs w:val="22"/>
          <w:lang w:val="sq-AL"/>
        </w:rPr>
        <w:t>Kllokotit</w:t>
      </w:r>
      <w:proofErr w:type="spellEnd"/>
      <w:r w:rsidR="00717657">
        <w:rPr>
          <w:rFonts w:ascii="Arial" w:hAnsi="Arial"/>
          <w:sz w:val="22"/>
          <w:szCs w:val="22"/>
          <w:lang w:val="sq-AL"/>
        </w:rPr>
        <w:t xml:space="preserve">“. </w:t>
      </w:r>
      <w:r w:rsidRPr="00C479BC">
        <w:rPr>
          <w:rFonts w:ascii="Arial" w:hAnsi="Arial"/>
          <w:sz w:val="22"/>
          <w:szCs w:val="22"/>
          <w:lang w:val="sq-AL"/>
        </w:rPr>
        <w:t>Më te</w:t>
      </w:r>
      <w:r w:rsidR="000639CD">
        <w:rPr>
          <w:rFonts w:ascii="Arial" w:hAnsi="Arial"/>
          <w:sz w:val="22"/>
          <w:szCs w:val="22"/>
          <w:lang w:val="sq-AL"/>
        </w:rPr>
        <w:t xml:space="preserve">j, </w:t>
      </w:r>
      <w:r w:rsidRPr="00C479BC">
        <w:rPr>
          <w:rFonts w:ascii="Arial" w:hAnsi="Arial"/>
          <w:sz w:val="22"/>
          <w:szCs w:val="22"/>
          <w:lang w:val="sq-AL"/>
        </w:rPr>
        <w:t xml:space="preserve">ankuesi pohon se të gjitha materialet e rëndësishme </w:t>
      </w:r>
      <w:r w:rsidR="000639CD">
        <w:rPr>
          <w:rFonts w:ascii="Arial" w:hAnsi="Arial"/>
          <w:sz w:val="22"/>
          <w:szCs w:val="22"/>
          <w:lang w:val="sq-AL"/>
        </w:rPr>
        <w:t xml:space="preserve">ishin parashtruar </w:t>
      </w:r>
      <w:r w:rsidRPr="00C479BC">
        <w:rPr>
          <w:rFonts w:ascii="Arial" w:hAnsi="Arial"/>
          <w:sz w:val="22"/>
          <w:szCs w:val="22"/>
          <w:lang w:val="sq-AL"/>
        </w:rPr>
        <w:t xml:space="preserve">edhe në </w:t>
      </w:r>
      <w:r w:rsidR="009B55E9">
        <w:rPr>
          <w:rFonts w:ascii="Arial" w:hAnsi="Arial"/>
          <w:sz w:val="22"/>
          <w:szCs w:val="22"/>
          <w:lang w:val="sq-AL"/>
        </w:rPr>
        <w:t>d</w:t>
      </w:r>
      <w:r w:rsidRPr="00C479BC">
        <w:rPr>
          <w:rFonts w:ascii="Arial" w:hAnsi="Arial"/>
          <w:sz w:val="22"/>
          <w:szCs w:val="22"/>
          <w:lang w:val="sq-AL"/>
        </w:rPr>
        <w:t xml:space="preserve">epartamentin </w:t>
      </w:r>
      <w:proofErr w:type="spellStart"/>
      <w:r w:rsidR="009B55E9">
        <w:rPr>
          <w:rFonts w:ascii="Arial" w:hAnsi="Arial"/>
          <w:sz w:val="22"/>
          <w:szCs w:val="22"/>
          <w:lang w:val="sq-AL"/>
        </w:rPr>
        <w:t>a</w:t>
      </w:r>
      <w:r w:rsidRPr="00C479BC">
        <w:rPr>
          <w:rFonts w:ascii="Arial" w:hAnsi="Arial"/>
          <w:sz w:val="22"/>
          <w:szCs w:val="22"/>
          <w:lang w:val="sq-AL"/>
        </w:rPr>
        <w:t>nti</w:t>
      </w:r>
      <w:proofErr w:type="spellEnd"/>
      <w:r w:rsidR="000639CD">
        <w:rPr>
          <w:rFonts w:ascii="Arial" w:hAnsi="Arial"/>
          <w:sz w:val="22"/>
          <w:szCs w:val="22"/>
          <w:lang w:val="sq-AL"/>
        </w:rPr>
        <w:t xml:space="preserve"> </w:t>
      </w:r>
      <w:r w:rsidRPr="00C479BC">
        <w:rPr>
          <w:rFonts w:ascii="Arial" w:hAnsi="Arial"/>
          <w:sz w:val="22"/>
          <w:szCs w:val="22"/>
          <w:lang w:val="sq-AL"/>
        </w:rPr>
        <w:t>korrupsion në zyrën e policisë në Gjilan</w:t>
      </w:r>
      <w:r w:rsidR="000639CD">
        <w:rPr>
          <w:rFonts w:ascii="Arial" w:hAnsi="Arial"/>
          <w:sz w:val="22"/>
          <w:szCs w:val="22"/>
          <w:lang w:val="sq-AL"/>
        </w:rPr>
        <w:t>.</w:t>
      </w:r>
    </w:p>
    <w:p w:rsidR="00005A61" w:rsidRPr="00005A61" w:rsidRDefault="00005A61" w:rsidP="00005A61">
      <w:pPr>
        <w:pStyle w:val="ListParagraph"/>
        <w:rPr>
          <w:rFonts w:ascii="Arial" w:hAnsi="Arial"/>
          <w:sz w:val="22"/>
          <w:szCs w:val="22"/>
          <w:lang w:val="sq-AL"/>
        </w:rPr>
      </w:pPr>
    </w:p>
    <w:p w:rsidR="00005A61" w:rsidRPr="00C479BC" w:rsidRDefault="009B2DEC" w:rsidP="00303398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  <w:t xml:space="preserve">Ky rast </w:t>
      </w:r>
      <w:r w:rsidR="00C479BC" w:rsidRPr="00C479BC">
        <w:rPr>
          <w:rFonts w:ascii="Arial" w:hAnsi="Arial"/>
          <w:sz w:val="22"/>
          <w:szCs w:val="22"/>
          <w:lang w:val="sq-AL"/>
        </w:rPr>
        <w:t xml:space="preserve">ka të bëjë me akuzat për </w:t>
      </w:r>
      <w:r>
        <w:rPr>
          <w:rFonts w:ascii="Arial" w:hAnsi="Arial"/>
          <w:sz w:val="22"/>
          <w:szCs w:val="22"/>
          <w:lang w:val="sq-AL"/>
        </w:rPr>
        <w:t xml:space="preserve">lëshimin </w:t>
      </w:r>
      <w:r w:rsidR="00B14693">
        <w:rPr>
          <w:rFonts w:ascii="Arial" w:hAnsi="Arial"/>
          <w:sz w:val="22"/>
          <w:szCs w:val="22"/>
          <w:lang w:val="sq-AL"/>
        </w:rPr>
        <w:t xml:space="preserve">e paligjshëm të </w:t>
      </w:r>
      <w:r w:rsidR="00C479BC" w:rsidRPr="00C479BC">
        <w:rPr>
          <w:rFonts w:ascii="Arial" w:hAnsi="Arial"/>
          <w:sz w:val="22"/>
          <w:szCs w:val="22"/>
          <w:lang w:val="sq-AL"/>
        </w:rPr>
        <w:t>parave</w:t>
      </w:r>
      <w:r>
        <w:rPr>
          <w:rFonts w:ascii="Arial" w:hAnsi="Arial"/>
          <w:sz w:val="22"/>
          <w:szCs w:val="22"/>
          <w:lang w:val="sq-AL"/>
        </w:rPr>
        <w:t xml:space="preserve">, </w:t>
      </w:r>
      <w:r w:rsidR="00C479BC" w:rsidRPr="00C479BC">
        <w:rPr>
          <w:rFonts w:ascii="Arial" w:hAnsi="Arial"/>
          <w:sz w:val="22"/>
          <w:szCs w:val="22"/>
          <w:lang w:val="sq-AL"/>
        </w:rPr>
        <w:t>në vlerë prej rreth 10,000 eu</w:t>
      </w:r>
      <w:r w:rsidR="00B14693">
        <w:rPr>
          <w:rFonts w:ascii="Arial" w:hAnsi="Arial"/>
          <w:sz w:val="22"/>
          <w:szCs w:val="22"/>
          <w:lang w:val="sq-AL"/>
        </w:rPr>
        <w:t xml:space="preserve">rosh, </w:t>
      </w:r>
      <w:r w:rsidR="00C479BC" w:rsidRPr="00C479BC">
        <w:rPr>
          <w:rFonts w:ascii="Arial" w:hAnsi="Arial"/>
          <w:sz w:val="22"/>
          <w:szCs w:val="22"/>
          <w:lang w:val="sq-AL"/>
        </w:rPr>
        <w:t xml:space="preserve">nga thesari i komunës </w:t>
      </w:r>
      <w:r w:rsidR="00B14693">
        <w:rPr>
          <w:rFonts w:ascii="Arial" w:hAnsi="Arial"/>
          <w:sz w:val="22"/>
          <w:szCs w:val="22"/>
          <w:lang w:val="sq-AL"/>
        </w:rPr>
        <w:t xml:space="preserve">për </w:t>
      </w:r>
      <w:r w:rsidR="00C479BC" w:rsidRPr="00C479BC">
        <w:rPr>
          <w:rFonts w:ascii="Arial" w:hAnsi="Arial"/>
          <w:sz w:val="22"/>
          <w:szCs w:val="22"/>
          <w:lang w:val="sq-AL"/>
        </w:rPr>
        <w:t>një kompani private</w:t>
      </w:r>
      <w:r>
        <w:rPr>
          <w:rFonts w:ascii="Arial" w:hAnsi="Arial"/>
          <w:sz w:val="22"/>
          <w:szCs w:val="22"/>
          <w:lang w:val="sq-AL"/>
        </w:rPr>
        <w:t xml:space="preserve">. Dyshohet se paratë </w:t>
      </w:r>
      <w:r w:rsidR="009B7E02">
        <w:rPr>
          <w:rFonts w:ascii="Arial" w:hAnsi="Arial"/>
          <w:sz w:val="22"/>
          <w:szCs w:val="22"/>
          <w:lang w:val="sq-AL"/>
        </w:rPr>
        <w:t>i</w:t>
      </w:r>
      <w:r>
        <w:rPr>
          <w:rFonts w:ascii="Arial" w:hAnsi="Arial"/>
          <w:sz w:val="22"/>
          <w:szCs w:val="22"/>
          <w:lang w:val="sq-AL"/>
        </w:rPr>
        <w:t xml:space="preserve">shin ndarë </w:t>
      </w:r>
      <w:r w:rsidR="00C479BC" w:rsidRPr="00C479BC">
        <w:rPr>
          <w:rFonts w:ascii="Arial" w:hAnsi="Arial"/>
          <w:sz w:val="22"/>
          <w:szCs w:val="22"/>
          <w:lang w:val="sq-AL"/>
        </w:rPr>
        <w:t xml:space="preserve">për një projekt që </w:t>
      </w:r>
      <w:r>
        <w:rPr>
          <w:rFonts w:ascii="Arial" w:hAnsi="Arial"/>
          <w:sz w:val="22"/>
          <w:szCs w:val="22"/>
          <w:lang w:val="sq-AL"/>
        </w:rPr>
        <w:t xml:space="preserve">kishte të bëjë me </w:t>
      </w:r>
      <w:r w:rsidR="00C479BC" w:rsidRPr="00C479BC">
        <w:rPr>
          <w:rFonts w:ascii="Arial" w:hAnsi="Arial"/>
          <w:sz w:val="22"/>
          <w:szCs w:val="22"/>
          <w:lang w:val="sq-AL"/>
        </w:rPr>
        <w:t>mbjelljen e pemëve dhe rregullimin e një shesh</w:t>
      </w:r>
      <w:r>
        <w:rPr>
          <w:rFonts w:ascii="Arial" w:hAnsi="Arial"/>
          <w:sz w:val="22"/>
          <w:szCs w:val="22"/>
          <w:lang w:val="sq-AL"/>
        </w:rPr>
        <w:t xml:space="preserve">i </w:t>
      </w:r>
      <w:r w:rsidR="00C479BC" w:rsidRPr="00C479BC">
        <w:rPr>
          <w:rFonts w:ascii="Arial" w:hAnsi="Arial"/>
          <w:sz w:val="22"/>
          <w:szCs w:val="22"/>
          <w:lang w:val="sq-AL"/>
        </w:rPr>
        <w:t>loj</w:t>
      </w:r>
      <w:r>
        <w:rPr>
          <w:rFonts w:ascii="Arial" w:hAnsi="Arial"/>
          <w:sz w:val="22"/>
          <w:szCs w:val="22"/>
          <w:lang w:val="sq-AL"/>
        </w:rPr>
        <w:t>ë</w:t>
      </w:r>
      <w:r w:rsidR="00C479BC" w:rsidRPr="00C479BC">
        <w:rPr>
          <w:rFonts w:ascii="Arial" w:hAnsi="Arial"/>
          <w:sz w:val="22"/>
          <w:szCs w:val="22"/>
          <w:lang w:val="sq-AL"/>
        </w:rPr>
        <w:t>rash</w:t>
      </w:r>
      <w:r>
        <w:rPr>
          <w:rFonts w:ascii="Arial" w:hAnsi="Arial"/>
          <w:sz w:val="22"/>
          <w:szCs w:val="22"/>
          <w:lang w:val="sq-AL"/>
        </w:rPr>
        <w:t xml:space="preserve"> të një shkolle. </w:t>
      </w:r>
      <w:r w:rsidR="00C479BC" w:rsidRPr="00C479BC">
        <w:rPr>
          <w:rFonts w:ascii="Arial" w:hAnsi="Arial"/>
          <w:sz w:val="22"/>
          <w:szCs w:val="22"/>
          <w:lang w:val="sq-AL"/>
        </w:rPr>
        <w:t xml:space="preserve">Ankuesi pohon se </w:t>
      </w:r>
      <w:r w:rsidR="009B55E9">
        <w:rPr>
          <w:rFonts w:ascii="Arial" w:hAnsi="Arial"/>
          <w:sz w:val="22"/>
          <w:szCs w:val="22"/>
          <w:lang w:val="sq-AL"/>
        </w:rPr>
        <w:t xml:space="preserve">kjo </w:t>
      </w:r>
      <w:r w:rsidR="00C479BC" w:rsidRPr="00C479BC">
        <w:rPr>
          <w:rFonts w:ascii="Arial" w:hAnsi="Arial"/>
          <w:sz w:val="22"/>
          <w:szCs w:val="22"/>
          <w:lang w:val="sq-AL"/>
        </w:rPr>
        <w:t>kompan</w:t>
      </w:r>
      <w:r w:rsidR="009B55E9">
        <w:rPr>
          <w:rFonts w:ascii="Arial" w:hAnsi="Arial"/>
          <w:sz w:val="22"/>
          <w:szCs w:val="22"/>
          <w:lang w:val="sq-AL"/>
        </w:rPr>
        <w:t xml:space="preserve">i </w:t>
      </w:r>
      <w:r>
        <w:rPr>
          <w:rFonts w:ascii="Arial" w:hAnsi="Arial"/>
          <w:sz w:val="22"/>
          <w:szCs w:val="22"/>
          <w:lang w:val="sq-AL"/>
        </w:rPr>
        <w:t xml:space="preserve">asnjëherë </w:t>
      </w:r>
      <w:r w:rsidR="00C479BC" w:rsidRPr="00C479BC">
        <w:rPr>
          <w:rFonts w:ascii="Arial" w:hAnsi="Arial"/>
          <w:sz w:val="22"/>
          <w:szCs w:val="22"/>
          <w:lang w:val="sq-AL"/>
        </w:rPr>
        <w:t xml:space="preserve">nuk </w:t>
      </w:r>
      <w:r>
        <w:rPr>
          <w:rFonts w:ascii="Arial" w:hAnsi="Arial"/>
          <w:sz w:val="22"/>
          <w:szCs w:val="22"/>
          <w:lang w:val="sq-AL"/>
        </w:rPr>
        <w:t xml:space="preserve">kishte ofruar </w:t>
      </w:r>
      <w:r w:rsidR="00C479BC" w:rsidRPr="00C479BC">
        <w:rPr>
          <w:rFonts w:ascii="Arial" w:hAnsi="Arial"/>
          <w:sz w:val="22"/>
          <w:szCs w:val="22"/>
          <w:lang w:val="sq-AL"/>
        </w:rPr>
        <w:t xml:space="preserve">shërbimet </w:t>
      </w:r>
      <w:r>
        <w:rPr>
          <w:rFonts w:ascii="Arial" w:hAnsi="Arial"/>
          <w:sz w:val="22"/>
          <w:szCs w:val="22"/>
          <w:lang w:val="sq-AL"/>
        </w:rPr>
        <w:t>për të cilat ishte paguar.</w:t>
      </w:r>
    </w:p>
    <w:p w:rsidR="009B2DEC" w:rsidRDefault="009B2DEC" w:rsidP="009B2DEC">
      <w:pPr>
        <w:pStyle w:val="ListParagraph"/>
        <w:suppressAutoHyphens/>
        <w:jc w:val="both"/>
        <w:rPr>
          <w:rFonts w:ascii="Arial" w:hAnsi="Arial"/>
          <w:sz w:val="22"/>
          <w:szCs w:val="22"/>
          <w:lang w:val="sq-AL"/>
        </w:rPr>
      </w:pPr>
    </w:p>
    <w:p w:rsidR="00C479BC" w:rsidRPr="00C479BC" w:rsidRDefault="00C479BC" w:rsidP="00C479BC">
      <w:pPr>
        <w:pStyle w:val="ListParagraph"/>
        <w:numPr>
          <w:ilvl w:val="0"/>
          <w:numId w:val="15"/>
        </w:numPr>
        <w:suppressAutoHyphens/>
        <w:jc w:val="both"/>
        <w:rPr>
          <w:rFonts w:ascii="Arial" w:hAnsi="Arial"/>
          <w:sz w:val="22"/>
          <w:szCs w:val="22"/>
          <w:lang w:val="sq-AL"/>
        </w:rPr>
      </w:pPr>
      <w:r w:rsidRPr="00C479BC">
        <w:rPr>
          <w:rFonts w:ascii="Arial" w:hAnsi="Arial"/>
          <w:sz w:val="22"/>
          <w:szCs w:val="22"/>
          <w:lang w:val="sq-AL"/>
        </w:rPr>
        <w:t xml:space="preserve">Me një vendim të datës 28 dhjetor 2012, një ekip i përzier i prokurorëve </w:t>
      </w:r>
      <w:r w:rsidR="009263A9">
        <w:rPr>
          <w:rFonts w:ascii="Arial" w:hAnsi="Arial"/>
          <w:sz w:val="22"/>
          <w:szCs w:val="22"/>
          <w:lang w:val="sq-AL"/>
        </w:rPr>
        <w:t xml:space="preserve">i </w:t>
      </w:r>
      <w:r w:rsidRPr="00C479BC">
        <w:rPr>
          <w:rFonts w:ascii="Arial" w:hAnsi="Arial"/>
          <w:sz w:val="22"/>
          <w:szCs w:val="22"/>
          <w:lang w:val="sq-AL"/>
        </w:rPr>
        <w:t xml:space="preserve">përbërë nga </w:t>
      </w:r>
      <w:r w:rsidR="009B55E9">
        <w:rPr>
          <w:rFonts w:ascii="Arial" w:hAnsi="Arial"/>
          <w:sz w:val="22"/>
          <w:szCs w:val="22"/>
          <w:lang w:val="sq-AL"/>
        </w:rPr>
        <w:t>p</w:t>
      </w:r>
      <w:r w:rsidRPr="00C479BC">
        <w:rPr>
          <w:rFonts w:ascii="Arial" w:hAnsi="Arial"/>
          <w:sz w:val="22"/>
          <w:szCs w:val="22"/>
          <w:lang w:val="sq-AL"/>
        </w:rPr>
        <w:t>rokur</w:t>
      </w:r>
      <w:r w:rsidR="009B7E02">
        <w:rPr>
          <w:rFonts w:ascii="Arial" w:hAnsi="Arial"/>
          <w:sz w:val="22"/>
          <w:szCs w:val="22"/>
          <w:lang w:val="sq-AL"/>
        </w:rPr>
        <w:t xml:space="preserve">ori </w:t>
      </w:r>
      <w:r w:rsidR="009B55E9">
        <w:rPr>
          <w:rFonts w:ascii="Arial" w:hAnsi="Arial"/>
          <w:sz w:val="22"/>
          <w:szCs w:val="22"/>
          <w:lang w:val="sq-AL"/>
        </w:rPr>
        <w:t>p</w:t>
      </w:r>
      <w:r w:rsidRPr="00C479BC">
        <w:rPr>
          <w:rFonts w:ascii="Arial" w:hAnsi="Arial"/>
          <w:sz w:val="22"/>
          <w:szCs w:val="22"/>
          <w:lang w:val="sq-AL"/>
        </w:rPr>
        <w:t xml:space="preserve">ublik </w:t>
      </w:r>
      <w:r w:rsidR="009B55E9">
        <w:rPr>
          <w:rFonts w:ascii="Arial" w:hAnsi="Arial"/>
          <w:sz w:val="22"/>
          <w:szCs w:val="22"/>
          <w:lang w:val="sq-AL"/>
        </w:rPr>
        <w:t>i q</w:t>
      </w:r>
      <w:r w:rsidRPr="00C479BC">
        <w:rPr>
          <w:rFonts w:ascii="Arial" w:hAnsi="Arial"/>
          <w:sz w:val="22"/>
          <w:szCs w:val="22"/>
          <w:lang w:val="sq-AL"/>
        </w:rPr>
        <w:t>arkut në Gjilan</w:t>
      </w:r>
      <w:r w:rsidR="009263A9">
        <w:rPr>
          <w:rFonts w:ascii="Arial" w:hAnsi="Arial"/>
          <w:sz w:val="22"/>
          <w:szCs w:val="22"/>
          <w:lang w:val="sq-AL"/>
        </w:rPr>
        <w:t xml:space="preserve"> dhe një </w:t>
      </w:r>
      <w:r w:rsidR="009B55E9">
        <w:rPr>
          <w:rFonts w:ascii="Arial" w:hAnsi="Arial"/>
          <w:sz w:val="22"/>
          <w:szCs w:val="22"/>
          <w:lang w:val="sq-AL"/>
        </w:rPr>
        <w:t>p</w:t>
      </w:r>
      <w:r w:rsidRPr="00C479BC">
        <w:rPr>
          <w:rFonts w:ascii="Arial" w:hAnsi="Arial"/>
          <w:sz w:val="22"/>
          <w:szCs w:val="22"/>
          <w:lang w:val="sq-AL"/>
        </w:rPr>
        <w:t xml:space="preserve">rokurori </w:t>
      </w:r>
      <w:r w:rsidR="009263A9">
        <w:rPr>
          <w:rFonts w:ascii="Arial" w:hAnsi="Arial"/>
          <w:sz w:val="22"/>
          <w:szCs w:val="22"/>
          <w:lang w:val="sq-AL"/>
        </w:rPr>
        <w:t xml:space="preserve">të </w:t>
      </w:r>
      <w:r w:rsidRPr="00C479BC">
        <w:rPr>
          <w:rFonts w:ascii="Arial" w:hAnsi="Arial"/>
          <w:sz w:val="22"/>
          <w:szCs w:val="22"/>
          <w:lang w:val="sq-AL"/>
        </w:rPr>
        <w:t xml:space="preserve">EULEX-it ka vendosur të ndërpresë hetimin </w:t>
      </w:r>
      <w:r w:rsidR="009263A9">
        <w:rPr>
          <w:rFonts w:ascii="Arial" w:hAnsi="Arial"/>
          <w:sz w:val="22"/>
          <w:szCs w:val="22"/>
          <w:lang w:val="sq-AL"/>
        </w:rPr>
        <w:t xml:space="preserve">rreth akuzave. </w:t>
      </w:r>
      <w:r w:rsidRPr="00C479BC">
        <w:rPr>
          <w:rFonts w:ascii="Arial" w:hAnsi="Arial"/>
          <w:sz w:val="22"/>
          <w:szCs w:val="22"/>
          <w:lang w:val="sq-AL"/>
        </w:rPr>
        <w:t xml:space="preserve">Vendimi </w:t>
      </w:r>
      <w:r w:rsidR="009263A9">
        <w:rPr>
          <w:rFonts w:ascii="Arial" w:hAnsi="Arial"/>
          <w:sz w:val="22"/>
          <w:szCs w:val="22"/>
          <w:lang w:val="sq-AL"/>
        </w:rPr>
        <w:t xml:space="preserve">së pari ka </w:t>
      </w:r>
      <w:r w:rsidRPr="00C479BC">
        <w:rPr>
          <w:rFonts w:ascii="Arial" w:hAnsi="Arial"/>
          <w:sz w:val="22"/>
          <w:szCs w:val="22"/>
          <w:lang w:val="sq-AL"/>
        </w:rPr>
        <w:t>përmbledhur akuzat për korrupsion të bëra nga banorët e komunë</w:t>
      </w:r>
      <w:r w:rsidR="009263A9">
        <w:rPr>
          <w:rFonts w:ascii="Arial" w:hAnsi="Arial"/>
          <w:sz w:val="22"/>
          <w:szCs w:val="22"/>
          <w:lang w:val="sq-AL"/>
        </w:rPr>
        <w:t xml:space="preserve">s. Më </w:t>
      </w:r>
      <w:r w:rsidRPr="00C479BC">
        <w:rPr>
          <w:rFonts w:ascii="Arial" w:hAnsi="Arial"/>
          <w:sz w:val="22"/>
          <w:szCs w:val="22"/>
          <w:lang w:val="sq-AL"/>
        </w:rPr>
        <w:t xml:space="preserve">tej </w:t>
      </w:r>
      <w:r w:rsidR="009263A9">
        <w:rPr>
          <w:rFonts w:ascii="Arial" w:hAnsi="Arial"/>
          <w:sz w:val="22"/>
          <w:szCs w:val="22"/>
          <w:lang w:val="sq-AL"/>
        </w:rPr>
        <w:t xml:space="preserve">ju ka drejtuar </w:t>
      </w:r>
      <w:r w:rsidRPr="00C479BC">
        <w:rPr>
          <w:rFonts w:ascii="Arial" w:hAnsi="Arial"/>
          <w:sz w:val="22"/>
          <w:szCs w:val="22"/>
          <w:lang w:val="sq-AL"/>
        </w:rPr>
        <w:t xml:space="preserve">pjesëve të ndryshme të </w:t>
      </w:r>
      <w:r w:rsidR="009263A9">
        <w:rPr>
          <w:rFonts w:ascii="Arial" w:hAnsi="Arial"/>
          <w:sz w:val="22"/>
          <w:szCs w:val="22"/>
          <w:lang w:val="sq-AL"/>
        </w:rPr>
        <w:t>dëshmisë</w:t>
      </w:r>
      <w:r w:rsidR="009B55E9">
        <w:rPr>
          <w:rFonts w:ascii="Arial" w:hAnsi="Arial"/>
          <w:sz w:val="22"/>
          <w:szCs w:val="22"/>
          <w:lang w:val="sq-AL"/>
        </w:rPr>
        <w:t>,</w:t>
      </w:r>
      <w:r w:rsidR="009263A9">
        <w:rPr>
          <w:rFonts w:ascii="Arial" w:hAnsi="Arial"/>
          <w:sz w:val="22"/>
          <w:szCs w:val="22"/>
          <w:lang w:val="sq-AL"/>
        </w:rPr>
        <w:t xml:space="preserve"> </w:t>
      </w:r>
      <w:r w:rsidR="009B55E9">
        <w:rPr>
          <w:rFonts w:ascii="Arial" w:hAnsi="Arial"/>
          <w:sz w:val="22"/>
          <w:szCs w:val="22"/>
          <w:lang w:val="sq-AL"/>
        </w:rPr>
        <w:t>të cilat i</w:t>
      </w:r>
      <w:r w:rsidRPr="00C479BC">
        <w:rPr>
          <w:rFonts w:ascii="Arial" w:hAnsi="Arial"/>
          <w:sz w:val="22"/>
          <w:szCs w:val="22"/>
          <w:lang w:val="sq-AL"/>
        </w:rPr>
        <w:t>shte marrë gjatë hetimi</w:t>
      </w:r>
      <w:r w:rsidR="009263A9">
        <w:rPr>
          <w:rFonts w:ascii="Arial" w:hAnsi="Arial"/>
          <w:sz w:val="22"/>
          <w:szCs w:val="22"/>
          <w:lang w:val="sq-AL"/>
        </w:rPr>
        <w:t xml:space="preserve">t. Autoritetet e ndjekjes kanë marrë dëshmi </w:t>
      </w:r>
      <w:r w:rsidRPr="00C479BC">
        <w:rPr>
          <w:rFonts w:ascii="Arial" w:hAnsi="Arial"/>
          <w:sz w:val="22"/>
          <w:szCs w:val="22"/>
          <w:lang w:val="sq-AL"/>
        </w:rPr>
        <w:t>nga deklaratat e të pandehu</w:t>
      </w:r>
      <w:r w:rsidR="009263A9">
        <w:rPr>
          <w:rFonts w:ascii="Arial" w:hAnsi="Arial"/>
          <w:sz w:val="22"/>
          <w:szCs w:val="22"/>
          <w:lang w:val="sq-AL"/>
        </w:rPr>
        <w:t>rve. Gjithashtu ka</w:t>
      </w:r>
      <w:r w:rsidR="0098726B">
        <w:rPr>
          <w:rFonts w:ascii="Arial" w:hAnsi="Arial"/>
          <w:sz w:val="22"/>
          <w:szCs w:val="22"/>
          <w:lang w:val="sq-AL"/>
        </w:rPr>
        <w:t xml:space="preserve">në </w:t>
      </w:r>
      <w:r w:rsidR="009263A9">
        <w:rPr>
          <w:rFonts w:ascii="Arial" w:hAnsi="Arial"/>
          <w:sz w:val="22"/>
          <w:szCs w:val="22"/>
          <w:lang w:val="sq-AL"/>
        </w:rPr>
        <w:t xml:space="preserve">marrë </w:t>
      </w:r>
      <w:r w:rsidRPr="00C479BC">
        <w:rPr>
          <w:rFonts w:ascii="Arial" w:hAnsi="Arial"/>
          <w:sz w:val="22"/>
          <w:szCs w:val="22"/>
          <w:lang w:val="sq-AL"/>
        </w:rPr>
        <w:t>në pyetje një numër dëshmita</w:t>
      </w:r>
      <w:r w:rsidR="009263A9">
        <w:rPr>
          <w:rFonts w:ascii="Arial" w:hAnsi="Arial"/>
          <w:sz w:val="22"/>
          <w:szCs w:val="22"/>
          <w:lang w:val="sq-AL"/>
        </w:rPr>
        <w:t xml:space="preserve">rësh </w:t>
      </w:r>
      <w:r w:rsidRPr="00C479BC">
        <w:rPr>
          <w:rFonts w:ascii="Arial" w:hAnsi="Arial"/>
          <w:sz w:val="22"/>
          <w:szCs w:val="22"/>
          <w:lang w:val="sq-AL"/>
        </w:rPr>
        <w:t>që jetojnë në komunë (B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B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J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J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Z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B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S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M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D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S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H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R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M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B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A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E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T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S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, F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H</w:t>
      </w:r>
      <w:r w:rsidR="009263A9">
        <w:rPr>
          <w:rFonts w:ascii="Arial" w:hAnsi="Arial"/>
          <w:sz w:val="22"/>
          <w:szCs w:val="22"/>
          <w:lang w:val="sq-AL"/>
        </w:rPr>
        <w:t xml:space="preserve">. </w:t>
      </w:r>
      <w:r w:rsidRPr="00C479BC">
        <w:rPr>
          <w:rFonts w:ascii="Arial" w:hAnsi="Arial"/>
          <w:sz w:val="22"/>
          <w:szCs w:val="22"/>
          <w:lang w:val="sq-AL"/>
        </w:rPr>
        <w:t>dhe Z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C</w:t>
      </w:r>
      <w:r w:rsidR="009263A9">
        <w:rPr>
          <w:rFonts w:ascii="Arial" w:hAnsi="Arial"/>
          <w:sz w:val="22"/>
          <w:szCs w:val="22"/>
          <w:lang w:val="sq-AL"/>
        </w:rPr>
        <w:t>.</w:t>
      </w:r>
      <w:r w:rsidRPr="00C479BC">
        <w:rPr>
          <w:rFonts w:ascii="Arial" w:hAnsi="Arial"/>
          <w:sz w:val="22"/>
          <w:szCs w:val="22"/>
          <w:lang w:val="sq-AL"/>
        </w:rPr>
        <w:t>) dh</w:t>
      </w:r>
      <w:r w:rsidR="009263A9">
        <w:rPr>
          <w:rFonts w:ascii="Arial" w:hAnsi="Arial"/>
          <w:sz w:val="22"/>
          <w:szCs w:val="22"/>
          <w:lang w:val="sq-AL"/>
        </w:rPr>
        <w:t xml:space="preserve">e ka </w:t>
      </w:r>
      <w:r w:rsidRPr="00C479BC">
        <w:rPr>
          <w:rFonts w:ascii="Arial" w:hAnsi="Arial"/>
          <w:sz w:val="22"/>
          <w:szCs w:val="22"/>
          <w:lang w:val="sq-AL"/>
        </w:rPr>
        <w:t>emë</w:t>
      </w:r>
      <w:r w:rsidR="009263A9">
        <w:rPr>
          <w:rFonts w:ascii="Arial" w:hAnsi="Arial"/>
          <w:sz w:val="22"/>
          <w:szCs w:val="22"/>
          <w:lang w:val="sq-AL"/>
        </w:rPr>
        <w:t xml:space="preserve">ruar </w:t>
      </w:r>
      <w:r w:rsidRPr="00C479BC">
        <w:rPr>
          <w:rFonts w:ascii="Arial" w:hAnsi="Arial"/>
          <w:sz w:val="22"/>
          <w:szCs w:val="22"/>
          <w:lang w:val="sq-AL"/>
        </w:rPr>
        <w:t>ekspertë</w:t>
      </w:r>
      <w:r w:rsidR="009263A9">
        <w:rPr>
          <w:rFonts w:ascii="Arial" w:hAnsi="Arial"/>
          <w:sz w:val="22"/>
          <w:szCs w:val="22"/>
          <w:lang w:val="sq-AL"/>
        </w:rPr>
        <w:t xml:space="preserve"> financiarë </w:t>
      </w:r>
      <w:r w:rsidRPr="00C479BC">
        <w:rPr>
          <w:rFonts w:ascii="Arial" w:hAnsi="Arial"/>
          <w:sz w:val="22"/>
          <w:szCs w:val="22"/>
          <w:lang w:val="sq-AL"/>
        </w:rPr>
        <w:t xml:space="preserve">për të shqyrtuar dokumentet financiare </w:t>
      </w:r>
      <w:r w:rsidR="009B55E9">
        <w:rPr>
          <w:rFonts w:ascii="Arial" w:hAnsi="Arial"/>
          <w:sz w:val="22"/>
          <w:szCs w:val="22"/>
          <w:lang w:val="sq-AL"/>
        </w:rPr>
        <w:t xml:space="preserve">që lidhen me rastin. </w:t>
      </w:r>
      <w:r w:rsidRPr="00C479BC">
        <w:rPr>
          <w:rFonts w:ascii="Arial" w:hAnsi="Arial"/>
          <w:sz w:val="22"/>
          <w:szCs w:val="22"/>
          <w:lang w:val="sq-AL"/>
        </w:rPr>
        <w:t xml:space="preserve">Gjithashtu </w:t>
      </w:r>
      <w:r w:rsidR="009263A9">
        <w:rPr>
          <w:rFonts w:ascii="Arial" w:hAnsi="Arial"/>
          <w:sz w:val="22"/>
          <w:szCs w:val="22"/>
          <w:lang w:val="sq-AL"/>
        </w:rPr>
        <w:t xml:space="preserve">iu ka drejtuar </w:t>
      </w:r>
      <w:r w:rsidR="00E51953">
        <w:rPr>
          <w:rFonts w:ascii="Arial" w:hAnsi="Arial"/>
          <w:sz w:val="22"/>
          <w:szCs w:val="22"/>
          <w:lang w:val="sq-AL"/>
        </w:rPr>
        <w:t xml:space="preserve">gjërave të </w:t>
      </w:r>
      <w:r w:rsidRPr="00C479BC">
        <w:rPr>
          <w:rFonts w:ascii="Arial" w:hAnsi="Arial"/>
          <w:sz w:val="22"/>
          <w:szCs w:val="22"/>
          <w:lang w:val="sq-AL"/>
        </w:rPr>
        <w:t xml:space="preserve">papërcaktuar të </w:t>
      </w:r>
      <w:r w:rsidR="009263A9">
        <w:rPr>
          <w:rFonts w:ascii="Arial" w:hAnsi="Arial"/>
          <w:sz w:val="22"/>
          <w:szCs w:val="22"/>
          <w:lang w:val="sq-AL"/>
        </w:rPr>
        <w:t>“dëshmive fizike” të papërcaktuara.</w:t>
      </w:r>
    </w:p>
    <w:p w:rsidR="00C479BC" w:rsidRPr="00005A61" w:rsidRDefault="00C479BC" w:rsidP="00C479BC">
      <w:pPr>
        <w:pStyle w:val="ListParagraph"/>
        <w:suppressAutoHyphens/>
        <w:jc w:val="both"/>
        <w:rPr>
          <w:rFonts w:ascii="Arial" w:hAnsi="Arial"/>
          <w:sz w:val="22"/>
          <w:szCs w:val="22"/>
          <w:lang w:val="sq-AL"/>
        </w:rPr>
      </w:pPr>
    </w:p>
    <w:p w:rsidR="00C479BC" w:rsidRPr="00C479BC" w:rsidRDefault="00C479BC" w:rsidP="00C479BC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C479BC">
        <w:rPr>
          <w:rFonts w:ascii="Arial" w:hAnsi="Arial" w:cs="Arial"/>
          <w:sz w:val="22"/>
          <w:szCs w:val="22"/>
          <w:lang w:val="sq-AL"/>
        </w:rPr>
        <w:t>Prokuroria kishte caktuar një numër ekspertë</w:t>
      </w:r>
      <w:r w:rsidR="007D5ABD">
        <w:rPr>
          <w:rFonts w:ascii="Arial" w:hAnsi="Arial" w:cs="Arial"/>
          <w:sz w:val="22"/>
          <w:szCs w:val="22"/>
          <w:lang w:val="sq-AL"/>
        </w:rPr>
        <w:t xml:space="preserve">sh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për të shqyrtuar dokumentet financiare të komunës me qëllim </w:t>
      </w:r>
      <w:r w:rsidR="009B55E9">
        <w:rPr>
          <w:rFonts w:ascii="Arial" w:hAnsi="Arial" w:cs="Arial"/>
          <w:sz w:val="22"/>
          <w:szCs w:val="22"/>
          <w:lang w:val="sq-AL"/>
        </w:rPr>
        <w:t xml:space="preserve">që të vërtetohet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nëse </w:t>
      </w:r>
      <w:r w:rsidR="007D5ABD">
        <w:rPr>
          <w:rFonts w:ascii="Arial" w:hAnsi="Arial" w:cs="Arial"/>
          <w:sz w:val="22"/>
          <w:szCs w:val="22"/>
          <w:lang w:val="sq-AL"/>
        </w:rPr>
        <w:t>i</w:t>
      </w:r>
      <w:r w:rsidR="007D5ABD" w:rsidRPr="00C479BC">
        <w:rPr>
          <w:rFonts w:ascii="Arial" w:hAnsi="Arial" w:cs="Arial"/>
          <w:sz w:val="22"/>
          <w:szCs w:val="22"/>
          <w:lang w:val="sq-AL"/>
        </w:rPr>
        <w:t xml:space="preserve">shte kryer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vepra penale e </w:t>
      </w:r>
      <w:r w:rsidR="007D5ABD">
        <w:rPr>
          <w:rFonts w:ascii="Arial" w:hAnsi="Arial" w:cs="Arial"/>
          <w:sz w:val="22"/>
          <w:szCs w:val="22"/>
          <w:lang w:val="sq-AL"/>
        </w:rPr>
        <w:t>“</w:t>
      </w:r>
      <w:r w:rsidRPr="00C479BC">
        <w:rPr>
          <w:rFonts w:ascii="Arial" w:hAnsi="Arial" w:cs="Arial"/>
          <w:sz w:val="22"/>
          <w:szCs w:val="22"/>
          <w:lang w:val="sq-AL"/>
        </w:rPr>
        <w:t>keqpërdorim</w:t>
      </w:r>
      <w:r w:rsidR="007D5ABD">
        <w:rPr>
          <w:rFonts w:ascii="Arial" w:hAnsi="Arial" w:cs="Arial"/>
          <w:sz w:val="22"/>
          <w:szCs w:val="22"/>
          <w:lang w:val="sq-AL"/>
        </w:rPr>
        <w:t xml:space="preserve">it </w:t>
      </w:r>
      <w:r w:rsidRPr="00C479BC">
        <w:rPr>
          <w:rFonts w:ascii="Arial" w:hAnsi="Arial" w:cs="Arial"/>
          <w:sz w:val="22"/>
          <w:szCs w:val="22"/>
          <w:lang w:val="sq-AL"/>
        </w:rPr>
        <w:t>të pozitës zyrtare ose autorizimi</w:t>
      </w:r>
      <w:r w:rsidR="007D5ABD">
        <w:rPr>
          <w:rFonts w:ascii="Arial" w:hAnsi="Arial" w:cs="Arial"/>
          <w:sz w:val="22"/>
          <w:szCs w:val="22"/>
          <w:lang w:val="sq-AL"/>
        </w:rPr>
        <w:t xml:space="preserve">t”.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Në vendimin </w:t>
      </w:r>
      <w:r w:rsidR="00E50C5E">
        <w:rPr>
          <w:rFonts w:ascii="Arial" w:hAnsi="Arial" w:cs="Arial"/>
          <w:sz w:val="22"/>
          <w:szCs w:val="22"/>
          <w:lang w:val="sq-AL"/>
        </w:rPr>
        <w:t xml:space="preserve">e vet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të datës 28 dhjetor 2012, prokuroria </w:t>
      </w:r>
      <w:r w:rsidR="00E50C5E">
        <w:rPr>
          <w:rFonts w:ascii="Arial" w:hAnsi="Arial" w:cs="Arial"/>
          <w:sz w:val="22"/>
          <w:szCs w:val="22"/>
          <w:lang w:val="sq-AL"/>
        </w:rPr>
        <w:t xml:space="preserve">ka marrë </w:t>
      </w:r>
      <w:r w:rsidRPr="00C479BC">
        <w:rPr>
          <w:rFonts w:ascii="Arial" w:hAnsi="Arial" w:cs="Arial"/>
          <w:sz w:val="22"/>
          <w:szCs w:val="22"/>
          <w:lang w:val="sq-AL"/>
        </w:rPr>
        <w:t>parasysh përfundimin e ekspertit</w:t>
      </w:r>
      <w:r w:rsidR="00E50C5E">
        <w:rPr>
          <w:rFonts w:ascii="Arial" w:hAnsi="Arial" w:cs="Arial"/>
          <w:sz w:val="22"/>
          <w:szCs w:val="22"/>
          <w:lang w:val="sq-AL"/>
        </w:rPr>
        <w:t>,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 i cili kishte konstatuar se procedurat e prokurim</w:t>
      </w:r>
      <w:r w:rsidR="00E50C5E">
        <w:rPr>
          <w:rFonts w:ascii="Arial" w:hAnsi="Arial" w:cs="Arial"/>
          <w:sz w:val="22"/>
          <w:szCs w:val="22"/>
          <w:lang w:val="sq-AL"/>
        </w:rPr>
        <w:t xml:space="preserve">it ishin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ndjekur në përputhje me </w:t>
      </w:r>
      <w:r w:rsidR="00974F08">
        <w:rPr>
          <w:rFonts w:ascii="Arial" w:hAnsi="Arial" w:cs="Arial"/>
          <w:sz w:val="22"/>
          <w:szCs w:val="22"/>
          <w:lang w:val="sq-AL"/>
        </w:rPr>
        <w:t>l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igjin mbi </w:t>
      </w:r>
      <w:r w:rsidR="00974F08">
        <w:rPr>
          <w:rFonts w:ascii="Arial" w:hAnsi="Arial" w:cs="Arial"/>
          <w:sz w:val="22"/>
          <w:szCs w:val="22"/>
          <w:lang w:val="sq-AL"/>
        </w:rPr>
        <w:t>p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rokurimin </w:t>
      </w:r>
      <w:r w:rsidR="00974F08">
        <w:rPr>
          <w:rFonts w:ascii="Arial" w:hAnsi="Arial" w:cs="Arial"/>
          <w:sz w:val="22"/>
          <w:szCs w:val="22"/>
          <w:lang w:val="sq-AL"/>
        </w:rPr>
        <w:t>p</w:t>
      </w:r>
      <w:r w:rsidRPr="00C479BC">
        <w:rPr>
          <w:rFonts w:ascii="Arial" w:hAnsi="Arial" w:cs="Arial"/>
          <w:sz w:val="22"/>
          <w:szCs w:val="22"/>
          <w:lang w:val="sq-AL"/>
        </w:rPr>
        <w:t>ubl</w:t>
      </w:r>
      <w:r w:rsidR="00E50C5E">
        <w:rPr>
          <w:rFonts w:ascii="Arial" w:hAnsi="Arial" w:cs="Arial"/>
          <w:sz w:val="22"/>
          <w:szCs w:val="22"/>
          <w:lang w:val="sq-AL"/>
        </w:rPr>
        <w:t xml:space="preserve">ik.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Ata </w:t>
      </w:r>
      <w:r w:rsidR="006224EF">
        <w:rPr>
          <w:rFonts w:ascii="Arial" w:hAnsi="Arial" w:cs="Arial"/>
          <w:sz w:val="22"/>
          <w:szCs w:val="22"/>
          <w:lang w:val="sq-AL"/>
        </w:rPr>
        <w:t xml:space="preserve">kanë </w:t>
      </w:r>
      <w:r w:rsidRPr="00C479BC">
        <w:rPr>
          <w:rFonts w:ascii="Arial" w:hAnsi="Arial" w:cs="Arial"/>
          <w:sz w:val="22"/>
          <w:szCs w:val="22"/>
          <w:lang w:val="sq-AL"/>
        </w:rPr>
        <w:t>arr</w:t>
      </w:r>
      <w:r w:rsidR="006224EF">
        <w:rPr>
          <w:rFonts w:ascii="Arial" w:hAnsi="Arial" w:cs="Arial"/>
          <w:sz w:val="22"/>
          <w:szCs w:val="22"/>
          <w:lang w:val="sq-AL"/>
        </w:rPr>
        <w:t xml:space="preserve">itur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në përfundimin se </w:t>
      </w:r>
      <w:r w:rsidR="00E50C5E">
        <w:rPr>
          <w:rFonts w:ascii="Arial" w:hAnsi="Arial" w:cs="Arial"/>
          <w:sz w:val="22"/>
          <w:szCs w:val="22"/>
          <w:lang w:val="sq-AL"/>
        </w:rPr>
        <w:t xml:space="preserve">nuk ishte kryer asnjë shkelje. </w:t>
      </w:r>
      <w:r w:rsidRPr="00C479BC">
        <w:rPr>
          <w:rFonts w:ascii="Arial" w:hAnsi="Arial" w:cs="Arial"/>
          <w:sz w:val="22"/>
          <w:szCs w:val="22"/>
          <w:lang w:val="sq-AL"/>
        </w:rPr>
        <w:t>Prokurori gjithasht</w:t>
      </w:r>
      <w:r w:rsidR="00E50C5E">
        <w:rPr>
          <w:rFonts w:ascii="Arial" w:hAnsi="Arial" w:cs="Arial"/>
          <w:sz w:val="22"/>
          <w:szCs w:val="22"/>
          <w:lang w:val="sq-AL"/>
        </w:rPr>
        <w:t xml:space="preserve">u ka kërkuar nga </w:t>
      </w:r>
      <w:r w:rsidRPr="00C479BC">
        <w:rPr>
          <w:rFonts w:ascii="Arial" w:hAnsi="Arial" w:cs="Arial"/>
          <w:sz w:val="22"/>
          <w:szCs w:val="22"/>
          <w:lang w:val="sq-AL"/>
        </w:rPr>
        <w:t>eksp</w:t>
      </w:r>
      <w:r w:rsidR="009B55E9">
        <w:rPr>
          <w:rFonts w:ascii="Arial" w:hAnsi="Arial" w:cs="Arial"/>
          <w:sz w:val="22"/>
          <w:szCs w:val="22"/>
          <w:lang w:val="sq-AL"/>
        </w:rPr>
        <w:t xml:space="preserve">erti që të ofronte </w:t>
      </w:r>
      <w:r w:rsidRPr="00C479BC">
        <w:rPr>
          <w:rFonts w:ascii="Arial" w:hAnsi="Arial" w:cs="Arial"/>
          <w:sz w:val="22"/>
          <w:szCs w:val="22"/>
          <w:lang w:val="sq-AL"/>
        </w:rPr>
        <w:t>mendimi</w:t>
      </w:r>
      <w:r w:rsidR="00E50C5E">
        <w:rPr>
          <w:rFonts w:ascii="Arial" w:hAnsi="Arial" w:cs="Arial"/>
          <w:sz w:val="22"/>
          <w:szCs w:val="22"/>
          <w:lang w:val="sq-AL"/>
        </w:rPr>
        <w:t xml:space="preserve">n e tij se a ishte bërë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përzgjedhja e operatorit ekonomik në pajtim me </w:t>
      </w:r>
      <w:r w:rsidR="00974F08">
        <w:rPr>
          <w:rFonts w:ascii="Arial" w:hAnsi="Arial" w:cs="Arial"/>
          <w:sz w:val="22"/>
          <w:szCs w:val="22"/>
          <w:lang w:val="sq-AL"/>
        </w:rPr>
        <w:t>l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igjin për </w:t>
      </w:r>
      <w:r w:rsidR="00974F08">
        <w:rPr>
          <w:rFonts w:ascii="Arial" w:hAnsi="Arial" w:cs="Arial"/>
          <w:sz w:val="22"/>
          <w:szCs w:val="22"/>
          <w:lang w:val="sq-AL"/>
        </w:rPr>
        <w:t>p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rokurim </w:t>
      </w:r>
      <w:r w:rsidR="00974F08">
        <w:rPr>
          <w:rFonts w:ascii="Arial" w:hAnsi="Arial" w:cs="Arial"/>
          <w:sz w:val="22"/>
          <w:szCs w:val="22"/>
          <w:lang w:val="sq-AL"/>
        </w:rPr>
        <w:t>p</w:t>
      </w:r>
      <w:r w:rsidRPr="00C479BC">
        <w:rPr>
          <w:rFonts w:ascii="Arial" w:hAnsi="Arial" w:cs="Arial"/>
          <w:sz w:val="22"/>
          <w:szCs w:val="22"/>
          <w:lang w:val="sq-AL"/>
        </w:rPr>
        <w:t>ublik</w:t>
      </w:r>
      <w:r w:rsidR="00E50C5E">
        <w:rPr>
          <w:rFonts w:ascii="Arial" w:hAnsi="Arial" w:cs="Arial"/>
          <w:sz w:val="22"/>
          <w:szCs w:val="22"/>
          <w:lang w:val="sq-AL"/>
        </w:rPr>
        <w:t xml:space="preserve">. </w:t>
      </w:r>
      <w:r w:rsidR="00320BC7">
        <w:rPr>
          <w:rFonts w:ascii="Arial" w:hAnsi="Arial" w:cs="Arial"/>
          <w:sz w:val="22"/>
          <w:szCs w:val="22"/>
          <w:lang w:val="sq-AL"/>
        </w:rPr>
        <w:t xml:space="preserve">Eksperti kishte arritur </w:t>
      </w:r>
      <w:r w:rsidRPr="00C479BC">
        <w:rPr>
          <w:rFonts w:ascii="Arial" w:hAnsi="Arial" w:cs="Arial"/>
          <w:sz w:val="22"/>
          <w:szCs w:val="22"/>
          <w:lang w:val="sq-AL"/>
        </w:rPr>
        <w:t>në përfundi</w:t>
      </w:r>
      <w:r w:rsidR="00320BC7">
        <w:rPr>
          <w:rFonts w:ascii="Arial" w:hAnsi="Arial" w:cs="Arial"/>
          <w:sz w:val="22"/>
          <w:szCs w:val="22"/>
          <w:lang w:val="sq-AL"/>
        </w:rPr>
        <w:t xml:space="preserve">m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se </w:t>
      </w:r>
      <w:r w:rsidR="00C64E0D">
        <w:rPr>
          <w:rFonts w:ascii="Arial" w:hAnsi="Arial" w:cs="Arial"/>
          <w:sz w:val="22"/>
          <w:szCs w:val="22"/>
          <w:lang w:val="sq-AL"/>
        </w:rPr>
        <w:t xml:space="preserve">ashtu kishte ndodhur </w:t>
      </w:r>
      <w:r w:rsidRPr="00C479BC">
        <w:rPr>
          <w:rFonts w:ascii="Arial" w:hAnsi="Arial" w:cs="Arial"/>
          <w:sz w:val="22"/>
          <w:szCs w:val="22"/>
          <w:lang w:val="sq-AL"/>
        </w:rPr>
        <w:t>dhe se asnjë dëm</w:t>
      </w:r>
      <w:r w:rsidR="00320BC7">
        <w:rPr>
          <w:rFonts w:ascii="Arial" w:hAnsi="Arial" w:cs="Arial"/>
          <w:sz w:val="22"/>
          <w:szCs w:val="22"/>
          <w:lang w:val="sq-AL"/>
        </w:rPr>
        <w:t xml:space="preserve"> </w:t>
      </w:r>
      <w:r w:rsidR="00320BC7">
        <w:rPr>
          <w:rFonts w:ascii="Arial" w:hAnsi="Arial" w:cs="Arial"/>
          <w:sz w:val="22"/>
          <w:szCs w:val="22"/>
          <w:lang w:val="sq-AL"/>
        </w:rPr>
        <w:lastRenderedPageBreak/>
        <w:t xml:space="preserve">financiar nuk kishte rezultuar ndaj </w:t>
      </w:r>
      <w:r w:rsidRPr="00C479BC">
        <w:rPr>
          <w:rFonts w:ascii="Arial" w:hAnsi="Arial" w:cs="Arial"/>
          <w:sz w:val="22"/>
          <w:szCs w:val="22"/>
          <w:lang w:val="sq-AL"/>
        </w:rPr>
        <w:t>komun</w:t>
      </w:r>
      <w:r w:rsidR="009B55E9">
        <w:rPr>
          <w:rFonts w:ascii="Arial" w:hAnsi="Arial" w:cs="Arial"/>
          <w:sz w:val="22"/>
          <w:szCs w:val="22"/>
          <w:lang w:val="sq-AL"/>
        </w:rPr>
        <w:t xml:space="preserve">ës si pasojë e veprimeve </w:t>
      </w:r>
      <w:r w:rsidR="00320BC7">
        <w:rPr>
          <w:rFonts w:ascii="Arial" w:hAnsi="Arial" w:cs="Arial"/>
          <w:sz w:val="22"/>
          <w:szCs w:val="22"/>
          <w:lang w:val="sq-AL"/>
        </w:rPr>
        <w:t>ndaj të cilave kishte pasur ankesë.</w:t>
      </w:r>
    </w:p>
    <w:p w:rsidR="00005A61" w:rsidRDefault="00005A61" w:rsidP="00005A61">
      <w:pPr>
        <w:suppressAutoHyphens/>
        <w:autoSpaceDE w:val="0"/>
        <w:ind w:left="720"/>
        <w:jc w:val="both"/>
        <w:rPr>
          <w:rFonts w:ascii="Arial" w:hAnsi="Arial" w:cs="Arial"/>
          <w:sz w:val="22"/>
          <w:szCs w:val="22"/>
          <w:lang w:val="sq-AL"/>
        </w:rPr>
      </w:pPr>
    </w:p>
    <w:p w:rsidR="00C479BC" w:rsidRPr="00C479BC" w:rsidRDefault="00C479BC" w:rsidP="00C479BC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C479BC">
        <w:rPr>
          <w:rFonts w:ascii="Arial" w:hAnsi="Arial" w:cs="Arial"/>
          <w:sz w:val="22"/>
          <w:szCs w:val="22"/>
          <w:lang w:val="sq-AL"/>
        </w:rPr>
        <w:t xml:space="preserve">Vendimi i prokurorit </w:t>
      </w:r>
      <w:r w:rsidR="003F3625">
        <w:rPr>
          <w:rFonts w:ascii="Arial" w:hAnsi="Arial" w:cs="Arial"/>
          <w:sz w:val="22"/>
          <w:szCs w:val="22"/>
          <w:lang w:val="sq-AL"/>
        </w:rPr>
        <w:t xml:space="preserve">për ta </w:t>
      </w:r>
      <w:r w:rsidRPr="00C479BC">
        <w:rPr>
          <w:rFonts w:ascii="Arial" w:hAnsi="Arial" w:cs="Arial"/>
          <w:sz w:val="22"/>
          <w:szCs w:val="22"/>
          <w:lang w:val="sq-AL"/>
        </w:rPr>
        <w:t>ndërpre</w:t>
      </w:r>
      <w:r w:rsidR="003F3625">
        <w:rPr>
          <w:rFonts w:ascii="Arial" w:hAnsi="Arial" w:cs="Arial"/>
          <w:sz w:val="22"/>
          <w:szCs w:val="22"/>
          <w:lang w:val="sq-AL"/>
        </w:rPr>
        <w:t xml:space="preserve">rë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hetimin nuk përmbante </w:t>
      </w:r>
      <w:r w:rsidR="003F3625">
        <w:rPr>
          <w:rFonts w:ascii="Arial" w:hAnsi="Arial" w:cs="Arial"/>
          <w:sz w:val="22"/>
          <w:szCs w:val="22"/>
          <w:lang w:val="sq-AL"/>
        </w:rPr>
        <w:t xml:space="preserve">ndonjë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përshkrim të </w:t>
      </w:r>
      <w:r w:rsidR="003F3625">
        <w:rPr>
          <w:rFonts w:ascii="Arial" w:hAnsi="Arial" w:cs="Arial"/>
          <w:sz w:val="22"/>
          <w:szCs w:val="22"/>
          <w:lang w:val="sq-AL"/>
        </w:rPr>
        <w:t xml:space="preserve">hollësishëm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të fakteve </w:t>
      </w:r>
      <w:r w:rsidR="003F3625">
        <w:rPr>
          <w:rFonts w:ascii="Arial" w:hAnsi="Arial" w:cs="Arial"/>
          <w:sz w:val="22"/>
          <w:szCs w:val="22"/>
          <w:lang w:val="sq-AL"/>
        </w:rPr>
        <w:t>ashtu siç janë konstatuar në bazë të provave.</w:t>
      </w:r>
    </w:p>
    <w:p w:rsidR="00C479BC" w:rsidRDefault="00C479BC" w:rsidP="00C479BC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C479BC" w:rsidRDefault="003F3625" w:rsidP="00C479BC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Autoritetet ndjekëse kanë arritur në përfundim, duke iu 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referuar në </w:t>
      </w:r>
      <w:r>
        <w:rPr>
          <w:rFonts w:ascii="Arial" w:hAnsi="Arial" w:cs="Arial"/>
          <w:sz w:val="22"/>
          <w:szCs w:val="22"/>
          <w:lang w:val="sq-AL"/>
        </w:rPr>
        <w:t>vi</w:t>
      </w:r>
      <w:r w:rsidR="0069276A">
        <w:rPr>
          <w:rFonts w:ascii="Arial" w:hAnsi="Arial" w:cs="Arial"/>
          <w:sz w:val="22"/>
          <w:szCs w:val="22"/>
          <w:lang w:val="sq-AL"/>
        </w:rPr>
        <w:t xml:space="preserve">ja </w:t>
      </w:r>
      <w:r w:rsidR="00C479BC" w:rsidRPr="00C479BC">
        <w:rPr>
          <w:rFonts w:ascii="Arial" w:hAnsi="Arial" w:cs="Arial"/>
          <w:sz w:val="22"/>
          <w:szCs w:val="22"/>
          <w:lang w:val="sq-AL"/>
        </w:rPr>
        <w:t>të përgjithshme provave të përmendura më lart</w:t>
      </w:r>
      <w:r>
        <w:rPr>
          <w:rFonts w:ascii="Arial" w:hAnsi="Arial" w:cs="Arial"/>
          <w:sz w:val="22"/>
          <w:szCs w:val="22"/>
          <w:lang w:val="sq-AL"/>
        </w:rPr>
        <w:t xml:space="preserve">ë </w:t>
      </w:r>
      <w:r w:rsidR="00C479BC" w:rsidRPr="00C479BC">
        <w:rPr>
          <w:rFonts w:ascii="Arial" w:hAnsi="Arial" w:cs="Arial"/>
          <w:sz w:val="22"/>
          <w:szCs w:val="22"/>
          <w:lang w:val="sq-AL"/>
        </w:rPr>
        <w:t xml:space="preserve">dhe në veçanti mendimet </w:t>
      </w:r>
      <w:r w:rsidR="009B55E9">
        <w:rPr>
          <w:rFonts w:ascii="Arial" w:hAnsi="Arial" w:cs="Arial"/>
          <w:sz w:val="22"/>
          <w:szCs w:val="22"/>
          <w:lang w:val="sq-AL"/>
        </w:rPr>
        <w:t xml:space="preserve">të </w:t>
      </w:r>
      <w:r w:rsidR="00C479BC" w:rsidRPr="00C479BC">
        <w:rPr>
          <w:rFonts w:ascii="Arial" w:hAnsi="Arial" w:cs="Arial"/>
          <w:sz w:val="22"/>
          <w:szCs w:val="22"/>
          <w:lang w:val="sq-AL"/>
        </w:rPr>
        <w:t>dhëna nga ekspertët</w:t>
      </w:r>
      <w:r>
        <w:rPr>
          <w:rFonts w:ascii="Arial" w:hAnsi="Arial" w:cs="Arial"/>
          <w:sz w:val="22"/>
          <w:szCs w:val="22"/>
          <w:lang w:val="sq-AL"/>
        </w:rPr>
        <w:t>, se nuk kishte rast për t’u hapu</w:t>
      </w:r>
      <w:r w:rsidR="009B55E9">
        <w:rPr>
          <w:rFonts w:ascii="Arial" w:hAnsi="Arial" w:cs="Arial"/>
          <w:sz w:val="22"/>
          <w:szCs w:val="22"/>
          <w:lang w:val="sq-AL"/>
        </w:rPr>
        <w:t xml:space="preserve">r ndaj askujt, </w:t>
      </w:r>
      <w:r>
        <w:rPr>
          <w:rFonts w:ascii="Arial" w:hAnsi="Arial" w:cs="Arial"/>
          <w:sz w:val="22"/>
          <w:szCs w:val="22"/>
          <w:lang w:val="sq-AL"/>
        </w:rPr>
        <w:t>pasi nuk ishte kryer asnjë vepër penale.</w:t>
      </w:r>
    </w:p>
    <w:p w:rsidR="003F3625" w:rsidRDefault="003F3625" w:rsidP="003F3625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F3625" w:rsidRPr="003F3625" w:rsidRDefault="003F3625" w:rsidP="003F3625">
      <w:pPr>
        <w:suppressAutoHyphens/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sz w:val="22"/>
          <w:szCs w:val="22"/>
          <w:lang w:val="sq-AL"/>
        </w:rPr>
        <w:t xml:space="preserve">III. </w:t>
      </w:r>
      <w:r w:rsidRPr="003F3625">
        <w:rPr>
          <w:rFonts w:ascii="Arial" w:hAnsi="Arial" w:cs="Arial"/>
          <w:b/>
          <w:sz w:val="22"/>
          <w:szCs w:val="22"/>
          <w:lang w:val="sq-AL"/>
        </w:rPr>
        <w:t>ANKESAT</w:t>
      </w:r>
    </w:p>
    <w:p w:rsidR="005F640D" w:rsidRDefault="005F640D" w:rsidP="005F640D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956A86" w:rsidRDefault="00C479BC" w:rsidP="00C479BC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C479BC">
        <w:rPr>
          <w:rFonts w:ascii="Arial" w:hAnsi="Arial" w:cs="Arial"/>
          <w:sz w:val="22"/>
          <w:szCs w:val="22"/>
          <w:lang w:val="sq-AL"/>
        </w:rPr>
        <w:t>Ankuesi pohon se ai</w:t>
      </w:r>
      <w:r w:rsidR="008548B9">
        <w:rPr>
          <w:rFonts w:ascii="Arial" w:hAnsi="Arial" w:cs="Arial"/>
          <w:sz w:val="22"/>
          <w:szCs w:val="22"/>
          <w:lang w:val="sq-AL"/>
        </w:rPr>
        <w:t xml:space="preserve"> </w:t>
      </w:r>
      <w:r w:rsidRPr="00C479BC">
        <w:rPr>
          <w:rFonts w:ascii="Arial" w:hAnsi="Arial" w:cs="Arial"/>
          <w:sz w:val="22"/>
          <w:szCs w:val="22"/>
          <w:lang w:val="sq-AL"/>
        </w:rPr>
        <w:t>si qytetar i komunë</w:t>
      </w:r>
      <w:r w:rsidR="008548B9">
        <w:rPr>
          <w:rFonts w:ascii="Arial" w:hAnsi="Arial" w:cs="Arial"/>
          <w:sz w:val="22"/>
          <w:szCs w:val="22"/>
          <w:lang w:val="sq-AL"/>
        </w:rPr>
        <w:t xml:space="preserve">s </w:t>
      </w:r>
      <w:r w:rsidRPr="00C479BC">
        <w:rPr>
          <w:rFonts w:ascii="Arial" w:hAnsi="Arial" w:cs="Arial"/>
          <w:sz w:val="22"/>
          <w:szCs w:val="22"/>
          <w:lang w:val="sq-AL"/>
        </w:rPr>
        <w:t>së bashku me 617 individë të tjerë</w:t>
      </w:r>
      <w:r w:rsidR="008548B9">
        <w:rPr>
          <w:rFonts w:ascii="Arial" w:hAnsi="Arial" w:cs="Arial"/>
          <w:sz w:val="22"/>
          <w:szCs w:val="22"/>
          <w:lang w:val="sq-AL"/>
        </w:rPr>
        <w:t xml:space="preserve">, të cilët kanë nënshkruar </w:t>
      </w:r>
      <w:r w:rsidRPr="00C479BC">
        <w:rPr>
          <w:rFonts w:ascii="Arial" w:hAnsi="Arial" w:cs="Arial"/>
          <w:sz w:val="22"/>
          <w:szCs w:val="22"/>
          <w:lang w:val="sq-AL"/>
        </w:rPr>
        <w:t>peticion</w:t>
      </w:r>
      <w:r w:rsidR="008548B9">
        <w:rPr>
          <w:rFonts w:ascii="Arial" w:hAnsi="Arial" w:cs="Arial"/>
          <w:sz w:val="22"/>
          <w:szCs w:val="22"/>
          <w:lang w:val="sq-AL"/>
        </w:rPr>
        <w:t xml:space="preserve">in,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ishte </w:t>
      </w:r>
      <w:r w:rsidR="0069276A">
        <w:rPr>
          <w:rFonts w:ascii="Arial" w:hAnsi="Arial" w:cs="Arial"/>
          <w:sz w:val="22"/>
          <w:szCs w:val="22"/>
          <w:lang w:val="sq-AL"/>
        </w:rPr>
        <w:t xml:space="preserve">drejtpërdrejt të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prekur nga </w:t>
      </w:r>
      <w:r w:rsidR="008548B9">
        <w:rPr>
          <w:rFonts w:ascii="Arial" w:hAnsi="Arial" w:cs="Arial"/>
          <w:sz w:val="22"/>
          <w:szCs w:val="22"/>
          <w:lang w:val="sq-AL"/>
        </w:rPr>
        <w:t xml:space="preserve">vepra e dyshuar </w:t>
      </w:r>
      <w:r w:rsidR="009B55E9">
        <w:rPr>
          <w:rFonts w:ascii="Arial" w:hAnsi="Arial" w:cs="Arial"/>
          <w:sz w:val="22"/>
          <w:szCs w:val="22"/>
          <w:lang w:val="sq-AL"/>
        </w:rPr>
        <w:t xml:space="preserve">e korrupsionit e </w:t>
      </w:r>
      <w:r w:rsidRPr="00C479BC">
        <w:rPr>
          <w:rFonts w:ascii="Arial" w:hAnsi="Arial" w:cs="Arial"/>
          <w:sz w:val="22"/>
          <w:szCs w:val="22"/>
          <w:lang w:val="sq-AL"/>
        </w:rPr>
        <w:t>kryetarit të komunë</w:t>
      </w:r>
      <w:r w:rsidR="008548B9">
        <w:rPr>
          <w:rFonts w:ascii="Arial" w:hAnsi="Arial" w:cs="Arial"/>
          <w:sz w:val="22"/>
          <w:szCs w:val="22"/>
          <w:lang w:val="sq-AL"/>
        </w:rPr>
        <w:t xml:space="preserve">s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dhe </w:t>
      </w:r>
      <w:r w:rsidR="008548B9">
        <w:rPr>
          <w:rFonts w:ascii="Arial" w:hAnsi="Arial" w:cs="Arial"/>
          <w:sz w:val="22"/>
          <w:szCs w:val="22"/>
          <w:lang w:val="sq-AL"/>
        </w:rPr>
        <w:t xml:space="preserve">se </w:t>
      </w:r>
      <w:r w:rsidR="008548B9" w:rsidRPr="00C479BC">
        <w:rPr>
          <w:rFonts w:ascii="Arial" w:hAnsi="Arial" w:cs="Arial"/>
          <w:sz w:val="22"/>
          <w:szCs w:val="22"/>
          <w:lang w:val="sq-AL"/>
        </w:rPr>
        <w:t xml:space="preserve">në këtë mënyrë </w:t>
      </w:r>
      <w:r w:rsidRPr="00C479BC">
        <w:rPr>
          <w:rFonts w:ascii="Arial" w:hAnsi="Arial" w:cs="Arial"/>
          <w:sz w:val="22"/>
          <w:szCs w:val="22"/>
          <w:lang w:val="sq-AL"/>
        </w:rPr>
        <w:t>të drejtat e tij themelore të njeriut janë shk</w:t>
      </w:r>
      <w:r w:rsidR="008548B9">
        <w:rPr>
          <w:rFonts w:ascii="Arial" w:hAnsi="Arial" w:cs="Arial"/>
          <w:sz w:val="22"/>
          <w:szCs w:val="22"/>
          <w:lang w:val="sq-AL"/>
        </w:rPr>
        <w:t xml:space="preserve">elur. </w:t>
      </w:r>
      <w:r w:rsidRPr="00C479BC">
        <w:rPr>
          <w:rFonts w:ascii="Arial" w:hAnsi="Arial" w:cs="Arial"/>
          <w:sz w:val="22"/>
          <w:szCs w:val="22"/>
          <w:lang w:val="sq-AL"/>
        </w:rPr>
        <w:t>Në veçant</w:t>
      </w:r>
      <w:r w:rsidR="009B55E9">
        <w:rPr>
          <w:rFonts w:ascii="Arial" w:hAnsi="Arial" w:cs="Arial"/>
          <w:sz w:val="22"/>
          <w:szCs w:val="22"/>
          <w:lang w:val="sq-AL"/>
        </w:rPr>
        <w:t xml:space="preserve">i, </w:t>
      </w:r>
      <w:r w:rsidRPr="00C479BC">
        <w:rPr>
          <w:rFonts w:ascii="Arial" w:hAnsi="Arial" w:cs="Arial"/>
          <w:sz w:val="22"/>
          <w:szCs w:val="22"/>
          <w:lang w:val="sq-AL"/>
        </w:rPr>
        <w:t>ankuesi pohon se para</w:t>
      </w:r>
      <w:r w:rsidR="008548B9">
        <w:rPr>
          <w:rFonts w:ascii="Arial" w:hAnsi="Arial" w:cs="Arial"/>
          <w:sz w:val="22"/>
          <w:szCs w:val="22"/>
          <w:lang w:val="sq-AL"/>
        </w:rPr>
        <w:t>ja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 publike për një projekt </w:t>
      </w:r>
      <w:r w:rsidR="008548B9">
        <w:rPr>
          <w:rFonts w:ascii="Arial" w:hAnsi="Arial" w:cs="Arial"/>
          <w:sz w:val="22"/>
          <w:szCs w:val="22"/>
          <w:lang w:val="sq-AL"/>
        </w:rPr>
        <w:t xml:space="preserve">për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mbjelljen e pemëve dhe rregullimin e një </w:t>
      </w:r>
      <w:r w:rsidR="008548B9">
        <w:rPr>
          <w:rFonts w:ascii="Arial" w:hAnsi="Arial" w:cs="Arial"/>
          <w:sz w:val="22"/>
          <w:szCs w:val="22"/>
          <w:lang w:val="sq-AL"/>
        </w:rPr>
        <w:t xml:space="preserve">sheshi lojërash të një shkolle në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komunë </w:t>
      </w:r>
      <w:r w:rsidR="008548B9">
        <w:rPr>
          <w:rFonts w:ascii="Arial" w:hAnsi="Arial" w:cs="Arial"/>
          <w:sz w:val="22"/>
          <w:szCs w:val="22"/>
          <w:lang w:val="sq-AL"/>
        </w:rPr>
        <w:t>ishin shpërdoruar.</w:t>
      </w:r>
    </w:p>
    <w:p w:rsidR="00391DD6" w:rsidRPr="00C479BC" w:rsidRDefault="00391DD6" w:rsidP="00391DD6">
      <w:pPr>
        <w:suppressAutoHyphens/>
        <w:autoSpaceDE w:val="0"/>
        <w:ind w:left="720"/>
        <w:jc w:val="both"/>
        <w:rPr>
          <w:rFonts w:ascii="Arial" w:hAnsi="Arial" w:cs="Arial"/>
          <w:sz w:val="22"/>
          <w:szCs w:val="22"/>
          <w:lang w:val="sq-AL"/>
        </w:rPr>
      </w:pPr>
    </w:p>
    <w:p w:rsidR="00391DD6" w:rsidRPr="009463F0" w:rsidRDefault="00391DD6" w:rsidP="00391DD6">
      <w:pPr>
        <w:rPr>
          <w:rFonts w:ascii="Arial" w:hAnsi="Arial" w:cs="Arial"/>
          <w:b/>
          <w:sz w:val="22"/>
          <w:szCs w:val="22"/>
          <w:lang w:val="sq-AL"/>
        </w:rPr>
      </w:pPr>
      <w:r>
        <w:rPr>
          <w:rFonts w:ascii="Arial" w:hAnsi="Arial" w:cs="Arial"/>
          <w:b/>
          <w:sz w:val="22"/>
          <w:szCs w:val="22"/>
          <w:lang w:val="sq-AL"/>
        </w:rPr>
        <w:t xml:space="preserve">IV. </w:t>
      </w:r>
      <w:r w:rsidRPr="009463F0">
        <w:rPr>
          <w:rFonts w:ascii="Arial" w:hAnsi="Arial" w:cs="Arial"/>
          <w:b/>
          <w:sz w:val="22"/>
          <w:szCs w:val="22"/>
          <w:lang w:val="sq-AL"/>
        </w:rPr>
        <w:t>LIGJI</w:t>
      </w:r>
    </w:p>
    <w:p w:rsidR="00AE5AD4" w:rsidRPr="00AE5AD4" w:rsidRDefault="00AE5AD4" w:rsidP="00AE5AD4">
      <w:pPr>
        <w:rPr>
          <w:rFonts w:ascii="Arial" w:hAnsi="Arial" w:cs="Arial"/>
          <w:sz w:val="22"/>
          <w:szCs w:val="22"/>
          <w:lang w:val="sq-AL"/>
        </w:rPr>
      </w:pPr>
    </w:p>
    <w:p w:rsidR="00C479BC" w:rsidRDefault="00C479BC" w:rsidP="00C479BC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C479BC">
        <w:rPr>
          <w:rFonts w:ascii="Arial" w:hAnsi="Arial" w:cs="Arial"/>
          <w:sz w:val="22"/>
          <w:szCs w:val="22"/>
          <w:lang w:val="sq-AL"/>
        </w:rPr>
        <w:t xml:space="preserve">Si çështje </w:t>
      </w:r>
      <w:r w:rsidR="006D380A">
        <w:rPr>
          <w:rFonts w:ascii="Arial" w:hAnsi="Arial" w:cs="Arial"/>
          <w:sz w:val="22"/>
          <w:szCs w:val="22"/>
          <w:lang w:val="sq-AL"/>
        </w:rPr>
        <w:t xml:space="preserve">e </w:t>
      </w:r>
      <w:r w:rsidRPr="00C479BC">
        <w:rPr>
          <w:rFonts w:ascii="Arial" w:hAnsi="Arial" w:cs="Arial"/>
          <w:sz w:val="22"/>
          <w:szCs w:val="22"/>
          <w:lang w:val="sq-AL"/>
        </w:rPr>
        <w:t>së drejtës materia</w:t>
      </w:r>
      <w:r w:rsidR="006D380A">
        <w:rPr>
          <w:rFonts w:ascii="Arial" w:hAnsi="Arial" w:cs="Arial"/>
          <w:sz w:val="22"/>
          <w:szCs w:val="22"/>
          <w:lang w:val="sq-AL"/>
        </w:rPr>
        <w:t xml:space="preserve">le,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Paneli është i autorizuar </w:t>
      </w:r>
      <w:r w:rsidR="006D380A">
        <w:rPr>
          <w:rFonts w:ascii="Arial" w:hAnsi="Arial" w:cs="Arial"/>
          <w:sz w:val="22"/>
          <w:szCs w:val="22"/>
          <w:lang w:val="sq-AL"/>
        </w:rPr>
        <w:t xml:space="preserve">që </w:t>
      </w:r>
      <w:r w:rsidRPr="00C479BC">
        <w:rPr>
          <w:rFonts w:ascii="Arial" w:hAnsi="Arial" w:cs="Arial"/>
          <w:sz w:val="22"/>
          <w:szCs w:val="22"/>
          <w:lang w:val="sq-AL"/>
        </w:rPr>
        <w:t>të</w:t>
      </w:r>
      <w:r w:rsidR="009B55E9">
        <w:rPr>
          <w:rFonts w:ascii="Arial" w:hAnsi="Arial" w:cs="Arial"/>
          <w:sz w:val="22"/>
          <w:szCs w:val="22"/>
          <w:lang w:val="sq-AL"/>
        </w:rPr>
        <w:t xml:space="preserve"> përdor i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nstrumentet e të drejtave të njeriut të </w:t>
      </w:r>
      <w:r w:rsidR="006D380A">
        <w:rPr>
          <w:rFonts w:ascii="Arial" w:hAnsi="Arial" w:cs="Arial"/>
          <w:sz w:val="22"/>
          <w:szCs w:val="22"/>
          <w:lang w:val="sq-AL"/>
        </w:rPr>
        <w:t xml:space="preserve">dhëna 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në </w:t>
      </w:r>
      <w:r w:rsidR="009B55E9">
        <w:rPr>
          <w:rFonts w:ascii="Arial" w:hAnsi="Arial" w:cs="Arial"/>
          <w:sz w:val="22"/>
          <w:szCs w:val="22"/>
          <w:lang w:val="sq-AL"/>
        </w:rPr>
        <w:t>k</w:t>
      </w:r>
      <w:r w:rsidRPr="00C479BC">
        <w:rPr>
          <w:rFonts w:ascii="Arial" w:hAnsi="Arial" w:cs="Arial"/>
          <w:sz w:val="22"/>
          <w:szCs w:val="22"/>
          <w:lang w:val="sq-AL"/>
        </w:rPr>
        <w:t xml:space="preserve">onceptin </w:t>
      </w:r>
      <w:r w:rsidR="006D380A">
        <w:rPr>
          <w:rFonts w:ascii="Arial" w:hAnsi="Arial" w:cs="Arial"/>
          <w:sz w:val="22"/>
          <w:szCs w:val="22"/>
          <w:lang w:val="sq-AL"/>
        </w:rPr>
        <w:t xml:space="preserve">e </w:t>
      </w:r>
      <w:r w:rsidR="009B55E9">
        <w:rPr>
          <w:rFonts w:ascii="Arial" w:hAnsi="Arial" w:cs="Arial"/>
          <w:sz w:val="22"/>
          <w:szCs w:val="22"/>
          <w:lang w:val="sq-AL"/>
        </w:rPr>
        <w:t>llogari</w:t>
      </w:r>
      <w:r w:rsidR="006D380A">
        <w:rPr>
          <w:rFonts w:ascii="Arial" w:hAnsi="Arial" w:cs="Arial"/>
          <w:sz w:val="22"/>
          <w:szCs w:val="22"/>
          <w:lang w:val="sq-AL"/>
        </w:rPr>
        <w:t xml:space="preserve">dhënies së </w:t>
      </w:r>
      <w:r w:rsidRPr="00C479BC">
        <w:rPr>
          <w:rFonts w:ascii="Arial" w:hAnsi="Arial" w:cs="Arial"/>
          <w:sz w:val="22"/>
          <w:szCs w:val="22"/>
          <w:lang w:val="sq-AL"/>
        </w:rPr>
        <w:t>EULEX</w:t>
      </w:r>
      <w:r w:rsidR="006D380A">
        <w:rPr>
          <w:rFonts w:ascii="Arial" w:hAnsi="Arial" w:cs="Arial"/>
          <w:sz w:val="22"/>
          <w:szCs w:val="22"/>
          <w:lang w:val="sq-AL"/>
        </w:rPr>
        <w:t>-it të d</w:t>
      </w:r>
      <w:r w:rsidRPr="00C479BC">
        <w:rPr>
          <w:rFonts w:ascii="Arial" w:hAnsi="Arial" w:cs="Arial"/>
          <w:sz w:val="22"/>
          <w:szCs w:val="22"/>
          <w:lang w:val="sq-AL"/>
        </w:rPr>
        <w:t>atës 29 tetor 2009 mbi themelimin e Panelit për Shqyrtimin e të Drejtave të Njeriu</w:t>
      </w:r>
      <w:r w:rsidR="006D380A">
        <w:rPr>
          <w:rFonts w:ascii="Arial" w:hAnsi="Arial" w:cs="Arial"/>
          <w:sz w:val="22"/>
          <w:szCs w:val="22"/>
          <w:lang w:val="sq-AL"/>
        </w:rPr>
        <w:t xml:space="preserve">t. </w:t>
      </w:r>
      <w:r w:rsidRPr="00C479BC">
        <w:rPr>
          <w:rFonts w:ascii="Arial" w:hAnsi="Arial" w:cs="Arial"/>
          <w:sz w:val="22"/>
          <w:szCs w:val="22"/>
          <w:lang w:val="sq-AL"/>
        </w:rPr>
        <w:t>Konventa Evropiane për Mbrojtjen e të Drejtave dhe Lirive Themelore të Njeriut dhe Konve</w:t>
      </w:r>
      <w:r w:rsidR="006D380A">
        <w:rPr>
          <w:rFonts w:ascii="Arial" w:hAnsi="Arial" w:cs="Arial"/>
          <w:sz w:val="22"/>
          <w:szCs w:val="22"/>
          <w:lang w:val="sq-AL"/>
        </w:rPr>
        <w:t xml:space="preserve">nta </w:t>
      </w:r>
      <w:r w:rsidRPr="00C479BC">
        <w:rPr>
          <w:rFonts w:ascii="Arial" w:hAnsi="Arial" w:cs="Arial"/>
          <w:sz w:val="22"/>
          <w:szCs w:val="22"/>
          <w:lang w:val="sq-AL"/>
        </w:rPr>
        <w:t>Ndërkombëtare mbi të Drejtat Civile dhe Polit</w:t>
      </w:r>
      <w:r w:rsidR="009B55E9">
        <w:rPr>
          <w:rFonts w:ascii="Arial" w:hAnsi="Arial" w:cs="Arial"/>
          <w:sz w:val="22"/>
          <w:szCs w:val="22"/>
          <w:lang w:val="sq-AL"/>
        </w:rPr>
        <w:t xml:space="preserve">ike, që </w:t>
      </w:r>
      <w:r w:rsidRPr="00C479BC">
        <w:rPr>
          <w:rFonts w:ascii="Arial" w:hAnsi="Arial" w:cs="Arial"/>
          <w:sz w:val="22"/>
          <w:szCs w:val="22"/>
          <w:lang w:val="sq-AL"/>
        </w:rPr>
        <w:t>përcakt</w:t>
      </w:r>
      <w:r w:rsidR="006D380A">
        <w:rPr>
          <w:rFonts w:ascii="Arial" w:hAnsi="Arial" w:cs="Arial"/>
          <w:sz w:val="22"/>
          <w:szCs w:val="22"/>
          <w:lang w:val="sq-AL"/>
        </w:rPr>
        <w:t xml:space="preserve">ojnë </w:t>
      </w:r>
      <w:r w:rsidRPr="00C479BC">
        <w:rPr>
          <w:rFonts w:ascii="Arial" w:hAnsi="Arial" w:cs="Arial"/>
          <w:sz w:val="22"/>
          <w:szCs w:val="22"/>
          <w:lang w:val="sq-AL"/>
        </w:rPr>
        <w:t>standardet për mbrojtjen e të drejtave të njeriut</w:t>
      </w:r>
      <w:r w:rsidR="009B55E9">
        <w:rPr>
          <w:rFonts w:ascii="Arial" w:hAnsi="Arial" w:cs="Arial"/>
          <w:sz w:val="22"/>
          <w:szCs w:val="22"/>
          <w:lang w:val="sq-AL"/>
        </w:rPr>
        <w:t>, të cilat d</w:t>
      </w:r>
      <w:r w:rsidRPr="00C479BC">
        <w:rPr>
          <w:rFonts w:ascii="Arial" w:hAnsi="Arial" w:cs="Arial"/>
          <w:sz w:val="22"/>
          <w:szCs w:val="22"/>
          <w:lang w:val="sq-AL"/>
        </w:rPr>
        <w:t>uhet të garantohen nga autoritetet publike në të gjitha sistemet ligjore demokratike janë të një rëndësie të veçantë për pun</w:t>
      </w:r>
      <w:r w:rsidR="006D380A">
        <w:rPr>
          <w:rFonts w:ascii="Arial" w:hAnsi="Arial" w:cs="Arial"/>
          <w:sz w:val="22"/>
          <w:szCs w:val="22"/>
          <w:lang w:val="sq-AL"/>
        </w:rPr>
        <w:t xml:space="preserve">ën e </w:t>
      </w:r>
      <w:r w:rsidRPr="00C479BC">
        <w:rPr>
          <w:rFonts w:ascii="Arial" w:hAnsi="Arial" w:cs="Arial"/>
          <w:sz w:val="22"/>
          <w:szCs w:val="22"/>
          <w:lang w:val="sq-AL"/>
        </w:rPr>
        <w:t>Paneli</w:t>
      </w:r>
      <w:r w:rsidR="006D380A">
        <w:rPr>
          <w:rFonts w:ascii="Arial" w:hAnsi="Arial" w:cs="Arial"/>
          <w:sz w:val="22"/>
          <w:szCs w:val="22"/>
          <w:lang w:val="sq-AL"/>
        </w:rPr>
        <w:t>t.</w:t>
      </w:r>
    </w:p>
    <w:p w:rsidR="009463F0" w:rsidRDefault="009463F0" w:rsidP="00956A86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7D198D" w:rsidRDefault="003B371E" w:rsidP="007D198D">
      <w:pPr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3B371E">
        <w:rPr>
          <w:rFonts w:ascii="Arial" w:hAnsi="Arial" w:cs="Arial"/>
          <w:sz w:val="22"/>
          <w:szCs w:val="22"/>
          <w:lang w:val="sq-AL"/>
        </w:rPr>
        <w:t xml:space="preserve">Para shqyrtimit të </w:t>
      </w:r>
      <w:proofErr w:type="spellStart"/>
      <w:r w:rsidRPr="003B371E">
        <w:rPr>
          <w:rFonts w:ascii="Arial" w:hAnsi="Arial" w:cs="Arial"/>
          <w:sz w:val="22"/>
          <w:szCs w:val="22"/>
          <w:lang w:val="sq-AL"/>
        </w:rPr>
        <w:t>bazueshmërisë</w:t>
      </w:r>
      <w:proofErr w:type="spellEnd"/>
      <w:r w:rsidRPr="003B371E">
        <w:rPr>
          <w:rFonts w:ascii="Arial" w:hAnsi="Arial" w:cs="Arial"/>
          <w:sz w:val="22"/>
          <w:szCs w:val="22"/>
          <w:lang w:val="sq-AL"/>
        </w:rPr>
        <w:t xml:space="preserve"> së ankesës, Paneli duhet të vendo</w:t>
      </w:r>
      <w:r w:rsidR="00021BE5">
        <w:rPr>
          <w:rFonts w:ascii="Arial" w:hAnsi="Arial" w:cs="Arial"/>
          <w:sz w:val="22"/>
          <w:szCs w:val="22"/>
          <w:lang w:val="sq-AL"/>
        </w:rPr>
        <w:t xml:space="preserve">s nëse </w:t>
      </w:r>
      <w:r w:rsidRPr="003B371E">
        <w:rPr>
          <w:rFonts w:ascii="Arial" w:hAnsi="Arial" w:cs="Arial"/>
          <w:sz w:val="22"/>
          <w:szCs w:val="22"/>
          <w:lang w:val="sq-AL"/>
        </w:rPr>
        <w:t xml:space="preserve">do ta pranoj ankesën, duke marrë parasysh kriteret e </w:t>
      </w:r>
      <w:proofErr w:type="spellStart"/>
      <w:r w:rsidRPr="003B371E">
        <w:rPr>
          <w:rFonts w:ascii="Arial" w:hAnsi="Arial" w:cs="Arial"/>
          <w:sz w:val="22"/>
          <w:szCs w:val="22"/>
          <w:lang w:val="sq-AL"/>
        </w:rPr>
        <w:t>pranueshmërisë</w:t>
      </w:r>
      <w:proofErr w:type="spellEnd"/>
      <w:r w:rsidRPr="003B371E">
        <w:rPr>
          <w:rFonts w:ascii="Arial" w:hAnsi="Arial" w:cs="Arial"/>
          <w:sz w:val="22"/>
          <w:szCs w:val="22"/>
          <w:lang w:val="sq-AL"/>
        </w:rPr>
        <w:t xml:space="preserve"> të përcaktuara me </w:t>
      </w:r>
      <w:r w:rsidR="00163D9B">
        <w:rPr>
          <w:rFonts w:ascii="Arial" w:hAnsi="Arial" w:cs="Arial"/>
          <w:sz w:val="22"/>
          <w:szCs w:val="22"/>
          <w:lang w:val="sq-AL"/>
        </w:rPr>
        <w:t>rr</w:t>
      </w:r>
      <w:r w:rsidRPr="003B371E">
        <w:rPr>
          <w:rFonts w:ascii="Arial" w:hAnsi="Arial" w:cs="Arial"/>
          <w:sz w:val="22"/>
          <w:szCs w:val="22"/>
          <w:lang w:val="sq-AL"/>
        </w:rPr>
        <w:t xml:space="preserve">egullën 29 të </w:t>
      </w:r>
      <w:r w:rsidR="00163D9B">
        <w:rPr>
          <w:rFonts w:ascii="Arial" w:hAnsi="Arial" w:cs="Arial"/>
          <w:sz w:val="22"/>
          <w:szCs w:val="22"/>
          <w:lang w:val="sq-AL"/>
        </w:rPr>
        <w:t>rr</w:t>
      </w:r>
      <w:r w:rsidRPr="003B371E">
        <w:rPr>
          <w:rFonts w:ascii="Arial" w:hAnsi="Arial" w:cs="Arial"/>
          <w:sz w:val="22"/>
          <w:szCs w:val="22"/>
          <w:lang w:val="sq-AL"/>
        </w:rPr>
        <w:t xml:space="preserve">egullores së vet të </w:t>
      </w:r>
      <w:r w:rsidR="00163D9B">
        <w:rPr>
          <w:rFonts w:ascii="Arial" w:hAnsi="Arial" w:cs="Arial"/>
          <w:sz w:val="22"/>
          <w:szCs w:val="22"/>
          <w:lang w:val="sq-AL"/>
        </w:rPr>
        <w:t>p</w:t>
      </w:r>
      <w:r w:rsidRPr="003B371E">
        <w:rPr>
          <w:rFonts w:ascii="Arial" w:hAnsi="Arial" w:cs="Arial"/>
          <w:sz w:val="22"/>
          <w:szCs w:val="22"/>
          <w:lang w:val="sq-AL"/>
        </w:rPr>
        <w:t>unës.</w:t>
      </w:r>
    </w:p>
    <w:p w:rsidR="00214E91" w:rsidRDefault="00214E91" w:rsidP="003B371E">
      <w:pPr>
        <w:rPr>
          <w:rFonts w:ascii="Arial" w:hAnsi="Arial" w:cs="Arial"/>
          <w:sz w:val="22"/>
          <w:szCs w:val="22"/>
          <w:lang w:val="sq-AL"/>
        </w:rPr>
      </w:pPr>
    </w:p>
    <w:p w:rsidR="00214E91" w:rsidRPr="00B47B2D" w:rsidRDefault="00214E91" w:rsidP="003B371E">
      <w:pPr>
        <w:rPr>
          <w:rFonts w:ascii="Arial" w:hAnsi="Arial" w:cs="Arial"/>
          <w:sz w:val="22"/>
          <w:szCs w:val="22"/>
          <w:lang w:val="sq-AL"/>
        </w:rPr>
      </w:pPr>
      <w:r w:rsidRPr="00B47B2D">
        <w:rPr>
          <w:rFonts w:ascii="Arial" w:hAnsi="Arial" w:cs="Arial"/>
          <w:sz w:val="22"/>
          <w:szCs w:val="22"/>
          <w:lang w:val="sq-AL"/>
        </w:rPr>
        <w:t>Veprimet e ndërmarra nga prokurorët e EULEX-it</w:t>
      </w:r>
    </w:p>
    <w:p w:rsidR="00214E91" w:rsidRPr="00214E91" w:rsidRDefault="00214E91" w:rsidP="003B371E">
      <w:pPr>
        <w:rPr>
          <w:rFonts w:ascii="Arial" w:hAnsi="Arial" w:cs="Arial"/>
          <w:sz w:val="22"/>
          <w:szCs w:val="22"/>
          <w:lang w:val="sq-AL"/>
        </w:rPr>
      </w:pPr>
    </w:p>
    <w:p w:rsidR="00956A86" w:rsidRPr="00227079" w:rsidRDefault="002C7B84" w:rsidP="00956A8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227079">
        <w:rPr>
          <w:rFonts w:ascii="Arial" w:hAnsi="Arial" w:cs="Arial"/>
          <w:sz w:val="22"/>
          <w:szCs w:val="22"/>
          <w:lang w:val="sq-AL"/>
        </w:rPr>
        <w:t xml:space="preserve">Paneli 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tashmë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ka </w:t>
      </w:r>
      <w:r w:rsidR="00227079" w:rsidRPr="00227079">
        <w:rPr>
          <w:rFonts w:ascii="Arial" w:hAnsi="Arial" w:cs="Arial"/>
          <w:sz w:val="22"/>
          <w:szCs w:val="22"/>
          <w:lang w:val="sq-AL"/>
        </w:rPr>
        <w:t>konstatuar se vep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rimet e prokurorëve </w:t>
      </w:r>
      <w:r w:rsidR="00227079" w:rsidRPr="00227079">
        <w:rPr>
          <w:rFonts w:ascii="Arial" w:hAnsi="Arial" w:cs="Arial"/>
          <w:sz w:val="22"/>
          <w:szCs w:val="22"/>
          <w:lang w:val="sq-AL"/>
        </w:rPr>
        <w:t>apo po</w:t>
      </w:r>
      <w:r w:rsidR="000014A7">
        <w:rPr>
          <w:rFonts w:ascii="Arial" w:hAnsi="Arial" w:cs="Arial"/>
          <w:sz w:val="22"/>
          <w:szCs w:val="22"/>
          <w:lang w:val="sq-AL"/>
        </w:rPr>
        <w:t xml:space="preserve">licisë 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së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EULEX-it marrë </w:t>
      </w:r>
      <w:r w:rsidR="000014A7">
        <w:rPr>
          <w:rFonts w:ascii="Arial" w:hAnsi="Arial" w:cs="Arial"/>
          <w:sz w:val="22"/>
          <w:szCs w:val="22"/>
          <w:lang w:val="sq-AL"/>
        </w:rPr>
        <w:t>brenda k</w:t>
      </w:r>
      <w:r w:rsidRPr="00227079">
        <w:rPr>
          <w:rFonts w:ascii="Arial" w:hAnsi="Arial" w:cs="Arial"/>
          <w:sz w:val="22"/>
          <w:szCs w:val="22"/>
          <w:lang w:val="sq-AL"/>
        </w:rPr>
        <w:t>ontek</w:t>
      </w:r>
      <w:r w:rsidR="000014A7">
        <w:rPr>
          <w:rFonts w:ascii="Arial" w:hAnsi="Arial" w:cs="Arial"/>
          <w:sz w:val="22"/>
          <w:szCs w:val="22"/>
          <w:lang w:val="sq-AL"/>
        </w:rPr>
        <w:t xml:space="preserve">stit të një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hetimi penal janë pjesë e mandatit ekzekutiv të EULEX-it të Kosovës dhe për këtë arsye mund të 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hyjnë </w:t>
      </w:r>
      <w:r w:rsidRPr="00227079">
        <w:rPr>
          <w:rFonts w:ascii="Arial" w:hAnsi="Arial" w:cs="Arial"/>
          <w:sz w:val="22"/>
          <w:szCs w:val="22"/>
          <w:lang w:val="sq-AL"/>
        </w:rPr>
        <w:t>në kuadër të mandatit të Panelit (shih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 </w:t>
      </w:r>
      <w:r w:rsidRPr="00227079">
        <w:rPr>
          <w:rFonts w:ascii="Arial" w:hAnsi="Arial" w:cs="Arial"/>
          <w:sz w:val="22"/>
          <w:szCs w:val="22"/>
          <w:lang w:val="sq-AL"/>
        </w:rPr>
        <w:t>për shembull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 </w:t>
      </w:r>
      <w:hyperlink r:id="rId9" w:history="1">
        <w:r w:rsidRPr="005C3EF3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Z kundër EULEX-it</w:t>
        </w:r>
      </w:hyperlink>
      <w:r w:rsidRPr="00227079">
        <w:rPr>
          <w:rFonts w:ascii="Arial" w:hAnsi="Arial" w:cs="Arial"/>
          <w:sz w:val="22"/>
          <w:szCs w:val="22"/>
          <w:lang w:val="sq-AL"/>
        </w:rPr>
        <w:t xml:space="preserve">, 2012-06, 10 prill 2013, në 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paragrafin 32; </w:t>
      </w:r>
      <w:hyperlink r:id="rId10" w:history="1">
        <w:r w:rsidRPr="00030D8E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W kundër EULEX-it</w:t>
        </w:r>
      </w:hyperlink>
      <w:r w:rsidRPr="00227079">
        <w:rPr>
          <w:rFonts w:ascii="Arial" w:hAnsi="Arial" w:cs="Arial"/>
          <w:sz w:val="22"/>
          <w:szCs w:val="22"/>
          <w:lang w:val="sq-AL"/>
        </w:rPr>
        <w:t>, 2011-07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,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5 tetor 2012 në </w:t>
      </w:r>
      <w:r w:rsidR="00227079" w:rsidRPr="00227079">
        <w:rPr>
          <w:rFonts w:ascii="Arial" w:hAnsi="Arial" w:cs="Arial"/>
          <w:sz w:val="22"/>
          <w:szCs w:val="22"/>
          <w:lang w:val="sq-AL"/>
        </w:rPr>
        <w:t>paragrafin 21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; </w:t>
      </w:r>
      <w:hyperlink r:id="rId11" w:history="1">
        <w:r w:rsidRPr="0074799D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Hoxha kundër EULEX-it</w:t>
        </w:r>
      </w:hyperlink>
      <w:r w:rsidRPr="00227079">
        <w:rPr>
          <w:rFonts w:ascii="Arial" w:hAnsi="Arial" w:cs="Arial"/>
          <w:sz w:val="22"/>
          <w:szCs w:val="22"/>
          <w:lang w:val="sq-AL"/>
        </w:rPr>
        <w:t>, 2011-18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,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23 nëntor 2011 në 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paragrafin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22 dhe </w:t>
      </w:r>
      <w:hyperlink r:id="rId12" w:history="1">
        <w:proofErr w:type="spellStart"/>
        <w:r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Sllobo</w:t>
        </w:r>
        <w:bookmarkStart w:id="0" w:name="_GoBack"/>
        <w:bookmarkEnd w:id="0"/>
        <w:r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d</w:t>
        </w:r>
        <w:r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an</w:t>
        </w:r>
        <w:proofErr w:type="spellEnd"/>
        <w:r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 xml:space="preserve"> </w:t>
        </w:r>
        <w:proofErr w:type="spellStart"/>
        <w:r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Martinov</w:t>
        </w:r>
        <w:r w:rsidR="00227079"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ic</w:t>
        </w:r>
        <w:proofErr w:type="spellEnd"/>
        <w:r w:rsidR="00227079"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 xml:space="preserve"> </w:t>
        </w:r>
        <w:r w:rsidRPr="0001217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kundër EULEX-it</w:t>
        </w:r>
      </w:hyperlink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, </w:t>
      </w:r>
      <w:r w:rsidRPr="00227079">
        <w:rPr>
          <w:rFonts w:ascii="Arial" w:hAnsi="Arial" w:cs="Arial"/>
          <w:sz w:val="22"/>
          <w:szCs w:val="22"/>
          <w:lang w:val="sq-AL"/>
        </w:rPr>
        <w:t>2011-1</w:t>
      </w:r>
      <w:r w:rsidR="007C6CC3">
        <w:rPr>
          <w:rFonts w:ascii="Arial" w:hAnsi="Arial" w:cs="Arial"/>
          <w:sz w:val="22"/>
          <w:szCs w:val="22"/>
          <w:lang w:val="sq-AL"/>
        </w:rPr>
        <w:t>3</w:t>
      </w:r>
      <w:r w:rsidR="00227079" w:rsidRPr="00227079">
        <w:rPr>
          <w:rFonts w:ascii="Arial" w:hAnsi="Arial" w:cs="Arial"/>
          <w:sz w:val="22"/>
          <w:szCs w:val="22"/>
          <w:lang w:val="sq-AL"/>
        </w:rPr>
        <w:t xml:space="preserve">, </w:t>
      </w:r>
      <w:r w:rsidRPr="00227079">
        <w:rPr>
          <w:rFonts w:ascii="Arial" w:hAnsi="Arial" w:cs="Arial"/>
          <w:sz w:val="22"/>
          <w:szCs w:val="22"/>
          <w:lang w:val="sq-AL"/>
        </w:rPr>
        <w:t xml:space="preserve">23 nëntor 2011 në </w:t>
      </w:r>
      <w:r w:rsidR="00227079" w:rsidRPr="00227079">
        <w:rPr>
          <w:rFonts w:ascii="Arial" w:hAnsi="Arial" w:cs="Arial"/>
          <w:sz w:val="22"/>
          <w:szCs w:val="22"/>
          <w:lang w:val="sq-AL"/>
        </w:rPr>
        <w:t>paragrafin 16)</w:t>
      </w:r>
      <w:r w:rsidR="00227079">
        <w:rPr>
          <w:rFonts w:ascii="Arial" w:hAnsi="Arial" w:cs="Arial"/>
          <w:sz w:val="22"/>
          <w:szCs w:val="22"/>
          <w:lang w:val="sq-AL"/>
        </w:rPr>
        <w:t>.</w:t>
      </w:r>
    </w:p>
    <w:p w:rsidR="002C7B84" w:rsidRDefault="002C7B84" w:rsidP="002C7B8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2C7B84">
        <w:rPr>
          <w:rFonts w:ascii="Arial" w:hAnsi="Arial" w:cs="Arial"/>
          <w:sz w:val="22"/>
          <w:szCs w:val="22"/>
          <w:lang w:val="sq-AL"/>
        </w:rPr>
        <w:lastRenderedPageBreak/>
        <w:t>Panel</w:t>
      </w:r>
      <w:r w:rsidR="00D21FDC">
        <w:rPr>
          <w:rFonts w:ascii="Arial" w:hAnsi="Arial" w:cs="Arial"/>
          <w:sz w:val="22"/>
          <w:szCs w:val="22"/>
          <w:lang w:val="sq-AL"/>
        </w:rPr>
        <w:t xml:space="preserve">i më tej ka konstatuar se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veprimet ose mosveprimet nga prokurorët gjatë fazës hetimore të procedurës penale nuk mund të konsiderohen si </w:t>
      </w:r>
      <w:r w:rsidR="00D21FDC">
        <w:rPr>
          <w:rFonts w:ascii="Arial" w:hAnsi="Arial" w:cs="Arial"/>
          <w:sz w:val="22"/>
          <w:szCs w:val="22"/>
          <w:lang w:val="sq-AL"/>
        </w:rPr>
        <w:t xml:space="preserve">janë bërë në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kuadër të </w:t>
      </w:r>
      <w:r w:rsidR="00D21FDC">
        <w:rPr>
          <w:rFonts w:ascii="Arial" w:hAnsi="Arial" w:cs="Arial"/>
          <w:sz w:val="22"/>
          <w:szCs w:val="22"/>
          <w:lang w:val="sq-AL"/>
        </w:rPr>
        <w:t>“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procedurave gjyqësore (shih </w:t>
      </w:r>
      <w:hyperlink r:id="rId13" w:history="1">
        <w:proofErr w:type="spellStart"/>
        <w:r w:rsidRPr="006D36D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Thaqi</w:t>
        </w:r>
        <w:proofErr w:type="spellEnd"/>
        <w:r w:rsidRPr="006D36DC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 xml:space="preserve"> kundër EULEX-it</w:t>
        </w:r>
      </w:hyperlink>
      <w:r w:rsidRPr="002C7B84">
        <w:rPr>
          <w:rFonts w:ascii="Arial" w:hAnsi="Arial" w:cs="Arial"/>
          <w:sz w:val="22"/>
          <w:szCs w:val="22"/>
          <w:lang w:val="sq-AL"/>
        </w:rPr>
        <w:t>, 2010-02, 14 shtator 2011, par. 64). Në këtë aspek</w:t>
      </w:r>
      <w:r w:rsidR="00D21FDC">
        <w:rPr>
          <w:rFonts w:ascii="Arial" w:hAnsi="Arial" w:cs="Arial"/>
          <w:sz w:val="22"/>
          <w:szCs w:val="22"/>
          <w:lang w:val="sq-AL"/>
        </w:rPr>
        <w:t xml:space="preserve">t, </w:t>
      </w:r>
      <w:r w:rsidRPr="002C7B84">
        <w:rPr>
          <w:rFonts w:ascii="Arial" w:hAnsi="Arial" w:cs="Arial"/>
          <w:sz w:val="22"/>
          <w:szCs w:val="22"/>
          <w:lang w:val="sq-AL"/>
        </w:rPr>
        <w:t>Panel</w:t>
      </w:r>
      <w:r w:rsidR="00D21FDC">
        <w:rPr>
          <w:rFonts w:ascii="Arial" w:hAnsi="Arial" w:cs="Arial"/>
          <w:sz w:val="22"/>
          <w:szCs w:val="22"/>
          <w:lang w:val="sq-AL"/>
        </w:rPr>
        <w:t xml:space="preserve">i ka </w:t>
      </w:r>
      <w:r w:rsidRPr="002C7B84">
        <w:rPr>
          <w:rFonts w:ascii="Arial" w:hAnsi="Arial" w:cs="Arial"/>
          <w:sz w:val="22"/>
          <w:szCs w:val="22"/>
          <w:lang w:val="sq-AL"/>
        </w:rPr>
        <w:t>konsta</w:t>
      </w:r>
      <w:r w:rsidR="00D21FDC">
        <w:rPr>
          <w:rFonts w:ascii="Arial" w:hAnsi="Arial" w:cs="Arial"/>
          <w:sz w:val="22"/>
          <w:szCs w:val="22"/>
          <w:lang w:val="sq-AL"/>
        </w:rPr>
        <w:t>tuar se “</w:t>
      </w:r>
      <w:r w:rsidRPr="00D21FDC">
        <w:rPr>
          <w:rFonts w:ascii="Arial" w:hAnsi="Arial" w:cs="Arial"/>
          <w:i/>
          <w:sz w:val="22"/>
          <w:szCs w:val="22"/>
          <w:lang w:val="sq-AL"/>
        </w:rPr>
        <w:t>veprimet dhe mosveprimet e prokurorëve të EULEX-it [...] para ngritjes së aktakuzës mund të bien në kuadër të mandatit ekzekutiv të EULEX-it</w:t>
      </w:r>
      <w:r w:rsidR="00D21FDC">
        <w:rPr>
          <w:rFonts w:ascii="Arial" w:hAnsi="Arial" w:cs="Arial"/>
          <w:sz w:val="22"/>
          <w:szCs w:val="22"/>
          <w:lang w:val="sq-AL"/>
        </w:rPr>
        <w:t xml:space="preserve">”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(shih </w:t>
      </w:r>
      <w:hyperlink r:id="rId14" w:history="1">
        <w:r w:rsidRPr="0026376B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Z kundër EULEX-it</w:t>
        </w:r>
      </w:hyperlink>
      <w:r w:rsidRPr="002C7B84">
        <w:rPr>
          <w:rFonts w:ascii="Arial" w:hAnsi="Arial" w:cs="Arial"/>
          <w:sz w:val="22"/>
          <w:szCs w:val="22"/>
          <w:lang w:val="sq-AL"/>
        </w:rPr>
        <w:t>, 2012-06</w:t>
      </w:r>
      <w:r w:rsidR="00D21FDC">
        <w:rPr>
          <w:rFonts w:ascii="Arial" w:hAnsi="Arial" w:cs="Arial"/>
          <w:sz w:val="22"/>
          <w:szCs w:val="22"/>
          <w:lang w:val="sq-AL"/>
        </w:rPr>
        <w:t xml:space="preserve">, </w:t>
      </w:r>
      <w:r w:rsidRPr="002C7B84">
        <w:rPr>
          <w:rFonts w:ascii="Arial" w:hAnsi="Arial" w:cs="Arial"/>
          <w:sz w:val="22"/>
          <w:szCs w:val="22"/>
          <w:lang w:val="sq-AL"/>
        </w:rPr>
        <w:t>10 prill 2013 në par</w:t>
      </w:r>
      <w:r w:rsidR="00D21FDC">
        <w:rPr>
          <w:rFonts w:ascii="Arial" w:hAnsi="Arial" w:cs="Arial"/>
          <w:sz w:val="22"/>
          <w:szCs w:val="22"/>
          <w:lang w:val="sq-AL"/>
        </w:rPr>
        <w:t>.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 33;</w:t>
      </w:r>
      <w:r w:rsidR="00D21FDC">
        <w:rPr>
          <w:rFonts w:ascii="Arial" w:hAnsi="Arial" w:cs="Arial"/>
          <w:sz w:val="22"/>
          <w:szCs w:val="22"/>
          <w:lang w:val="sq-AL"/>
        </w:rPr>
        <w:t xml:space="preserve"> </w:t>
      </w:r>
      <w:hyperlink r:id="rId15" w:history="1">
        <w:proofErr w:type="spellStart"/>
        <w:r w:rsidRPr="0025087E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>Thaqi</w:t>
        </w:r>
        <w:proofErr w:type="spellEnd"/>
        <w:r w:rsidRPr="0025087E">
          <w:rPr>
            <w:rStyle w:val="Hyperlink"/>
            <w:rFonts w:ascii="Arial" w:hAnsi="Arial" w:cs="Arial"/>
            <w:i/>
            <w:sz w:val="22"/>
            <w:szCs w:val="22"/>
            <w:lang w:val="sq-AL"/>
          </w:rPr>
          <w:t xml:space="preserve"> kundër EULEX-it</w:t>
        </w:r>
      </w:hyperlink>
      <w:r w:rsidRPr="002C7B84">
        <w:rPr>
          <w:rFonts w:ascii="Arial" w:hAnsi="Arial" w:cs="Arial"/>
          <w:sz w:val="22"/>
          <w:szCs w:val="22"/>
          <w:lang w:val="sq-AL"/>
        </w:rPr>
        <w:t xml:space="preserve">, 2010-02, 14 shtator 2011 në </w:t>
      </w:r>
      <w:r w:rsidR="00D21FDC">
        <w:rPr>
          <w:rFonts w:ascii="Arial" w:hAnsi="Arial" w:cs="Arial"/>
          <w:sz w:val="22"/>
          <w:szCs w:val="22"/>
          <w:lang w:val="sq-AL"/>
        </w:rPr>
        <w:t xml:space="preserve">par. </w:t>
      </w:r>
      <w:r w:rsidRPr="002C7B84">
        <w:rPr>
          <w:rFonts w:ascii="Arial" w:hAnsi="Arial" w:cs="Arial"/>
          <w:sz w:val="22"/>
          <w:szCs w:val="22"/>
          <w:lang w:val="sq-AL"/>
        </w:rPr>
        <w:t>93)</w:t>
      </w:r>
      <w:r w:rsidR="00D21FDC">
        <w:rPr>
          <w:rFonts w:ascii="Arial" w:hAnsi="Arial" w:cs="Arial"/>
          <w:sz w:val="22"/>
          <w:szCs w:val="22"/>
          <w:lang w:val="sq-AL"/>
        </w:rPr>
        <w:t xml:space="preserve">.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Paneli për këtë arsye </w:t>
      </w:r>
      <w:r w:rsidR="00D21FDC">
        <w:rPr>
          <w:rFonts w:ascii="Arial" w:hAnsi="Arial" w:cs="Arial"/>
          <w:sz w:val="22"/>
          <w:szCs w:val="22"/>
          <w:lang w:val="sq-AL"/>
        </w:rPr>
        <w:t xml:space="preserve">ka pranuar se ka kompetencë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për </w:t>
      </w:r>
      <w:r w:rsidR="00D21FDC">
        <w:rPr>
          <w:rFonts w:ascii="Arial" w:hAnsi="Arial" w:cs="Arial"/>
          <w:sz w:val="22"/>
          <w:szCs w:val="22"/>
          <w:lang w:val="sq-AL"/>
        </w:rPr>
        <w:t xml:space="preserve">ta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shqyrtuar </w:t>
      </w:r>
      <w:r w:rsidR="00D21FDC">
        <w:rPr>
          <w:rFonts w:ascii="Arial" w:hAnsi="Arial" w:cs="Arial"/>
          <w:sz w:val="22"/>
          <w:szCs w:val="22"/>
          <w:lang w:val="sq-AL"/>
        </w:rPr>
        <w:t>këtë lëndë.</w:t>
      </w:r>
    </w:p>
    <w:p w:rsidR="003B371E" w:rsidRPr="003B371E" w:rsidRDefault="003B371E" w:rsidP="003B371E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2C7B84" w:rsidRDefault="002C7B84" w:rsidP="002C7B8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2C7B84">
        <w:rPr>
          <w:rFonts w:ascii="Arial" w:hAnsi="Arial" w:cs="Arial"/>
          <w:sz w:val="22"/>
          <w:szCs w:val="22"/>
          <w:lang w:val="sq-AL"/>
        </w:rPr>
        <w:t xml:space="preserve">Paneli vëren se </w:t>
      </w:r>
      <w:r w:rsidR="00753FB4">
        <w:rPr>
          <w:rFonts w:ascii="Arial" w:hAnsi="Arial" w:cs="Arial"/>
          <w:sz w:val="22"/>
          <w:szCs w:val="22"/>
          <w:lang w:val="sq-AL"/>
        </w:rPr>
        <w:t>a</w:t>
      </w:r>
      <w:r w:rsidR="005D5EAE">
        <w:rPr>
          <w:rFonts w:ascii="Arial" w:hAnsi="Arial" w:cs="Arial"/>
          <w:sz w:val="22"/>
          <w:szCs w:val="22"/>
          <w:lang w:val="sq-AL"/>
        </w:rPr>
        <w:t xml:space="preserve">utoritetet ndjekëse kanë </w:t>
      </w:r>
      <w:r w:rsidR="000014A7">
        <w:rPr>
          <w:rFonts w:ascii="Arial" w:hAnsi="Arial" w:cs="Arial"/>
          <w:sz w:val="22"/>
          <w:szCs w:val="22"/>
          <w:lang w:val="sq-AL"/>
        </w:rPr>
        <w:t xml:space="preserve">grumbulluar </w:t>
      </w:r>
      <w:r w:rsidRPr="002C7B84">
        <w:rPr>
          <w:rFonts w:ascii="Arial" w:hAnsi="Arial" w:cs="Arial"/>
          <w:sz w:val="22"/>
          <w:szCs w:val="22"/>
          <w:lang w:val="sq-AL"/>
        </w:rPr>
        <w:t>dëshmi nga burime të ndrysh</w:t>
      </w:r>
      <w:r w:rsidR="005D5EAE">
        <w:rPr>
          <w:rFonts w:ascii="Arial" w:hAnsi="Arial" w:cs="Arial"/>
          <w:sz w:val="22"/>
          <w:szCs w:val="22"/>
          <w:lang w:val="sq-AL"/>
        </w:rPr>
        <w:t xml:space="preserve">me </w:t>
      </w:r>
      <w:r w:rsidRPr="002C7B84">
        <w:rPr>
          <w:rFonts w:ascii="Arial" w:hAnsi="Arial" w:cs="Arial"/>
          <w:sz w:val="22"/>
          <w:szCs w:val="22"/>
          <w:lang w:val="sq-AL"/>
        </w:rPr>
        <w:t>nëpërmjet marrjes në pyetje të dëshmitarëve dhe ekspertëve financiarë</w:t>
      </w:r>
      <w:r w:rsidR="005D5EAE">
        <w:rPr>
          <w:rFonts w:ascii="Arial" w:hAnsi="Arial" w:cs="Arial"/>
          <w:sz w:val="22"/>
          <w:szCs w:val="22"/>
          <w:lang w:val="sq-AL"/>
        </w:rPr>
        <w:t xml:space="preserve"> </w:t>
      </w:r>
      <w:r w:rsidRPr="002C7B84">
        <w:rPr>
          <w:rFonts w:ascii="Arial" w:hAnsi="Arial" w:cs="Arial"/>
          <w:sz w:val="22"/>
          <w:szCs w:val="22"/>
          <w:lang w:val="sq-AL"/>
        </w:rPr>
        <w:t xml:space="preserve">si dhe nëpërmjet shqyrtimit të provave të </w:t>
      </w:r>
      <w:r w:rsidR="005D5EAE">
        <w:rPr>
          <w:rFonts w:ascii="Arial" w:hAnsi="Arial" w:cs="Arial"/>
          <w:sz w:val="22"/>
          <w:szCs w:val="22"/>
          <w:lang w:val="sq-AL"/>
        </w:rPr>
        <w:t>papërcaktuara fizike.</w:t>
      </w:r>
    </w:p>
    <w:p w:rsidR="00375136" w:rsidRPr="00375136" w:rsidRDefault="00375136" w:rsidP="00375136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75136" w:rsidRDefault="00375136" w:rsidP="003751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375136">
        <w:rPr>
          <w:rFonts w:ascii="Arial" w:hAnsi="Arial" w:cs="Arial"/>
          <w:sz w:val="22"/>
          <w:szCs w:val="22"/>
          <w:lang w:val="sq-AL"/>
        </w:rPr>
        <w:t>Paneli megjithatë</w:t>
      </w:r>
      <w:r w:rsidR="00753FB4">
        <w:rPr>
          <w:rFonts w:ascii="Arial" w:hAnsi="Arial" w:cs="Arial"/>
          <w:sz w:val="22"/>
          <w:szCs w:val="22"/>
          <w:lang w:val="sq-AL"/>
        </w:rPr>
        <w:t xml:space="preserve"> vëren se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vendimi i prokurorit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i datës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21 dhjetor 2012 nuk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i </w:t>
      </w:r>
      <w:r w:rsidRPr="00375136">
        <w:rPr>
          <w:rFonts w:ascii="Arial" w:hAnsi="Arial" w:cs="Arial"/>
          <w:sz w:val="22"/>
          <w:szCs w:val="22"/>
          <w:lang w:val="sq-AL"/>
        </w:rPr>
        <w:t>mundëson Pane</w:t>
      </w:r>
      <w:r w:rsidR="00753FB4">
        <w:rPr>
          <w:rFonts w:ascii="Arial" w:hAnsi="Arial" w:cs="Arial"/>
          <w:sz w:val="22"/>
          <w:szCs w:val="22"/>
          <w:lang w:val="sq-AL"/>
        </w:rPr>
        <w:t xml:space="preserve">lit që të </w:t>
      </w:r>
      <w:r w:rsidRPr="00375136">
        <w:rPr>
          <w:rFonts w:ascii="Arial" w:hAnsi="Arial" w:cs="Arial"/>
          <w:sz w:val="22"/>
          <w:szCs w:val="22"/>
          <w:lang w:val="sq-AL"/>
        </w:rPr>
        <w:t>konsta</w:t>
      </w:r>
      <w:r w:rsidR="00753FB4">
        <w:rPr>
          <w:rFonts w:ascii="Arial" w:hAnsi="Arial" w:cs="Arial"/>
          <w:sz w:val="22"/>
          <w:szCs w:val="22"/>
          <w:lang w:val="sq-AL"/>
        </w:rPr>
        <w:t xml:space="preserve">toj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se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cilat fakte janë vërtetuar </w:t>
      </w:r>
      <w:r w:rsidRPr="00375136">
        <w:rPr>
          <w:rFonts w:ascii="Arial" w:hAnsi="Arial" w:cs="Arial"/>
          <w:sz w:val="22"/>
          <w:szCs w:val="22"/>
          <w:lang w:val="sq-AL"/>
        </w:rPr>
        <w:t>nga autoritetet e ndjekje</w:t>
      </w:r>
      <w:r w:rsidR="00753FB4">
        <w:rPr>
          <w:rFonts w:ascii="Arial" w:hAnsi="Arial" w:cs="Arial"/>
          <w:sz w:val="22"/>
          <w:szCs w:val="22"/>
          <w:lang w:val="sq-AL"/>
        </w:rPr>
        <w:t xml:space="preserve">s </w:t>
      </w:r>
      <w:r w:rsidRPr="00375136">
        <w:rPr>
          <w:rFonts w:ascii="Arial" w:hAnsi="Arial" w:cs="Arial"/>
          <w:sz w:val="22"/>
          <w:szCs w:val="22"/>
          <w:lang w:val="sq-AL"/>
        </w:rPr>
        <w:t>në bazë të dëshmive në dispozicion të ty</w:t>
      </w:r>
      <w:r w:rsidR="00753FB4">
        <w:rPr>
          <w:rFonts w:ascii="Arial" w:hAnsi="Arial" w:cs="Arial"/>
          <w:sz w:val="22"/>
          <w:szCs w:val="22"/>
          <w:lang w:val="sq-AL"/>
        </w:rPr>
        <w:t xml:space="preserve">re. </w:t>
      </w:r>
      <w:r w:rsidRPr="00375136">
        <w:rPr>
          <w:rFonts w:ascii="Arial" w:hAnsi="Arial" w:cs="Arial"/>
          <w:sz w:val="22"/>
          <w:szCs w:val="22"/>
          <w:lang w:val="sq-AL"/>
        </w:rPr>
        <w:t>Për shembull</w:t>
      </w:r>
      <w:r w:rsidR="00753FB4">
        <w:rPr>
          <w:rFonts w:ascii="Arial" w:hAnsi="Arial" w:cs="Arial"/>
          <w:sz w:val="22"/>
          <w:szCs w:val="22"/>
          <w:lang w:val="sq-AL"/>
        </w:rPr>
        <w:t xml:space="preserve">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nuk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ka pasur gjetje të faktit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nëse pemët ishin mbjellë në të vërtetë siç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ishte </w:t>
      </w:r>
      <w:r w:rsidRPr="00375136">
        <w:rPr>
          <w:rFonts w:ascii="Arial" w:hAnsi="Arial" w:cs="Arial"/>
          <w:sz w:val="22"/>
          <w:szCs w:val="22"/>
          <w:lang w:val="sq-AL"/>
        </w:rPr>
        <w:t>planifikua</w:t>
      </w:r>
      <w:r w:rsidR="00753FB4">
        <w:rPr>
          <w:rFonts w:ascii="Arial" w:hAnsi="Arial" w:cs="Arial"/>
          <w:sz w:val="22"/>
          <w:szCs w:val="22"/>
          <w:lang w:val="sq-AL"/>
        </w:rPr>
        <w:t xml:space="preserve">r </w:t>
      </w:r>
      <w:r w:rsidRPr="00375136">
        <w:rPr>
          <w:rFonts w:ascii="Arial" w:hAnsi="Arial" w:cs="Arial"/>
          <w:sz w:val="22"/>
          <w:szCs w:val="22"/>
          <w:lang w:val="sq-AL"/>
        </w:rPr>
        <w:t>dhe se shesh</w:t>
      </w:r>
      <w:r w:rsidR="00753FB4">
        <w:rPr>
          <w:rFonts w:ascii="Arial" w:hAnsi="Arial" w:cs="Arial"/>
          <w:sz w:val="22"/>
          <w:szCs w:val="22"/>
          <w:lang w:val="sq-AL"/>
        </w:rPr>
        <w:t xml:space="preserve">i i </w:t>
      </w:r>
      <w:r w:rsidRPr="00375136">
        <w:rPr>
          <w:rFonts w:ascii="Arial" w:hAnsi="Arial" w:cs="Arial"/>
          <w:sz w:val="22"/>
          <w:szCs w:val="22"/>
          <w:lang w:val="sq-AL"/>
        </w:rPr>
        <w:t>lojëra</w:t>
      </w:r>
      <w:r w:rsidR="00753FB4">
        <w:rPr>
          <w:rFonts w:ascii="Arial" w:hAnsi="Arial" w:cs="Arial"/>
          <w:sz w:val="22"/>
          <w:szCs w:val="22"/>
          <w:lang w:val="sq-AL"/>
        </w:rPr>
        <w:t xml:space="preserve">ve i shkollës ishte </w:t>
      </w:r>
      <w:r w:rsidRPr="00375136">
        <w:rPr>
          <w:rFonts w:ascii="Arial" w:hAnsi="Arial" w:cs="Arial"/>
          <w:sz w:val="22"/>
          <w:szCs w:val="22"/>
          <w:lang w:val="sq-AL"/>
        </w:rPr>
        <w:t>rregulluar apo jo</w:t>
      </w:r>
      <w:r w:rsidR="00753FB4">
        <w:rPr>
          <w:rFonts w:ascii="Arial" w:hAnsi="Arial" w:cs="Arial"/>
          <w:sz w:val="22"/>
          <w:szCs w:val="22"/>
          <w:lang w:val="sq-AL"/>
        </w:rPr>
        <w:t xml:space="preserve">.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Nuk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kishte pasur gjetje të tjera të faktit në lidhje me </w:t>
      </w:r>
      <w:r w:rsidRPr="00375136">
        <w:rPr>
          <w:rFonts w:ascii="Arial" w:hAnsi="Arial" w:cs="Arial"/>
          <w:sz w:val="22"/>
          <w:szCs w:val="22"/>
          <w:lang w:val="sq-AL"/>
        </w:rPr>
        <w:t>akuzat për korrupsio</w:t>
      </w:r>
      <w:r w:rsidR="00753FB4">
        <w:rPr>
          <w:rFonts w:ascii="Arial" w:hAnsi="Arial" w:cs="Arial"/>
          <w:sz w:val="22"/>
          <w:szCs w:val="22"/>
          <w:lang w:val="sq-AL"/>
        </w:rPr>
        <w:t xml:space="preserve">n. E as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nuk është shpjeguar se si janë zbatuar dispozitat e së drejtës materiale nga prokuroria për rrethanat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e lëndës dhe cili ishte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arsyetimi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që e </w:t>
      </w:r>
      <w:r w:rsidRPr="00375136">
        <w:rPr>
          <w:rFonts w:ascii="Arial" w:hAnsi="Arial" w:cs="Arial"/>
          <w:sz w:val="22"/>
          <w:szCs w:val="22"/>
          <w:lang w:val="sq-AL"/>
        </w:rPr>
        <w:t>kishte çuar autorite</w:t>
      </w:r>
      <w:r w:rsidR="00753FB4">
        <w:rPr>
          <w:rFonts w:ascii="Arial" w:hAnsi="Arial" w:cs="Arial"/>
          <w:sz w:val="22"/>
          <w:szCs w:val="22"/>
          <w:lang w:val="sq-AL"/>
        </w:rPr>
        <w:t xml:space="preserve">tin e ndjekjes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në vlerësimin ligjor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se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nuk </w:t>
      </w:r>
      <w:r w:rsidR="00753FB4">
        <w:rPr>
          <w:rFonts w:ascii="Arial" w:hAnsi="Arial" w:cs="Arial"/>
          <w:sz w:val="22"/>
          <w:szCs w:val="22"/>
          <w:lang w:val="sq-AL"/>
        </w:rPr>
        <w:t xml:space="preserve">ishte kryer ndonjë </w:t>
      </w:r>
      <w:r w:rsidRPr="00375136">
        <w:rPr>
          <w:rFonts w:ascii="Arial" w:hAnsi="Arial" w:cs="Arial"/>
          <w:sz w:val="22"/>
          <w:szCs w:val="22"/>
          <w:lang w:val="sq-AL"/>
        </w:rPr>
        <w:t>vep</w:t>
      </w:r>
      <w:r w:rsidR="00753FB4">
        <w:rPr>
          <w:rFonts w:ascii="Arial" w:hAnsi="Arial" w:cs="Arial"/>
          <w:sz w:val="22"/>
          <w:szCs w:val="22"/>
          <w:lang w:val="sq-AL"/>
        </w:rPr>
        <w:t xml:space="preserve">ër </w:t>
      </w:r>
      <w:r w:rsidRPr="00375136">
        <w:rPr>
          <w:rFonts w:ascii="Arial" w:hAnsi="Arial" w:cs="Arial"/>
          <w:sz w:val="22"/>
          <w:szCs w:val="22"/>
          <w:lang w:val="sq-AL"/>
        </w:rPr>
        <w:t>pena</w:t>
      </w:r>
      <w:r w:rsidR="00753FB4">
        <w:rPr>
          <w:rFonts w:ascii="Arial" w:hAnsi="Arial" w:cs="Arial"/>
          <w:sz w:val="22"/>
          <w:szCs w:val="22"/>
          <w:lang w:val="sq-AL"/>
        </w:rPr>
        <w:t>le.</w:t>
      </w:r>
    </w:p>
    <w:p w:rsidR="00375136" w:rsidRPr="00375136" w:rsidRDefault="00375136" w:rsidP="00375136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75136" w:rsidRDefault="00375136" w:rsidP="003751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375136">
        <w:rPr>
          <w:rFonts w:ascii="Arial" w:hAnsi="Arial" w:cs="Arial"/>
          <w:sz w:val="22"/>
          <w:szCs w:val="22"/>
          <w:lang w:val="sq-AL"/>
        </w:rPr>
        <w:t>Megjithatë</w:t>
      </w:r>
      <w:r w:rsidR="00995B0D">
        <w:rPr>
          <w:rFonts w:ascii="Arial" w:hAnsi="Arial" w:cs="Arial"/>
          <w:sz w:val="22"/>
          <w:szCs w:val="22"/>
          <w:lang w:val="sq-AL"/>
        </w:rPr>
        <w:t xml:space="preserve">,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pavarësisht </w:t>
      </w:r>
      <w:r w:rsidR="00995B0D">
        <w:rPr>
          <w:rFonts w:ascii="Arial" w:hAnsi="Arial" w:cs="Arial"/>
          <w:sz w:val="22"/>
          <w:szCs w:val="22"/>
          <w:lang w:val="sq-AL"/>
        </w:rPr>
        <w:t xml:space="preserve">prej </w:t>
      </w:r>
      <w:r w:rsidRPr="00375136">
        <w:rPr>
          <w:rFonts w:ascii="Arial" w:hAnsi="Arial" w:cs="Arial"/>
          <w:sz w:val="22"/>
          <w:szCs w:val="22"/>
          <w:lang w:val="sq-AL"/>
        </w:rPr>
        <w:t>mangësive të caktuara të vërejtura nga Paneli në vendimin e prokurorit për të ndërprerë hetim</w:t>
      </w:r>
      <w:r w:rsidR="00995B0D">
        <w:rPr>
          <w:rFonts w:ascii="Arial" w:hAnsi="Arial" w:cs="Arial"/>
          <w:sz w:val="22"/>
          <w:szCs w:val="22"/>
          <w:lang w:val="sq-AL"/>
        </w:rPr>
        <w:t xml:space="preserve">in,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Paneli </w:t>
      </w:r>
      <w:r w:rsidR="00995B0D">
        <w:rPr>
          <w:rFonts w:ascii="Arial" w:hAnsi="Arial" w:cs="Arial"/>
          <w:sz w:val="22"/>
          <w:szCs w:val="22"/>
          <w:lang w:val="sq-AL"/>
        </w:rPr>
        <w:t xml:space="preserve">konstaton se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sipas </w:t>
      </w:r>
      <w:r w:rsidR="00995B0D">
        <w:rPr>
          <w:rFonts w:ascii="Arial" w:hAnsi="Arial" w:cs="Arial"/>
          <w:sz w:val="22"/>
          <w:szCs w:val="22"/>
          <w:lang w:val="sq-AL"/>
        </w:rPr>
        <w:t>rr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egullës 25, paragrafi 1 i </w:t>
      </w:r>
      <w:r w:rsidR="00995B0D">
        <w:rPr>
          <w:rFonts w:ascii="Arial" w:hAnsi="Arial" w:cs="Arial"/>
          <w:sz w:val="22"/>
          <w:szCs w:val="22"/>
          <w:lang w:val="sq-AL"/>
        </w:rPr>
        <w:t>rr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egullores së </w:t>
      </w:r>
      <w:r w:rsidR="00995B0D">
        <w:rPr>
          <w:rFonts w:ascii="Arial" w:hAnsi="Arial" w:cs="Arial"/>
          <w:sz w:val="22"/>
          <w:szCs w:val="22"/>
          <w:lang w:val="sq-AL"/>
        </w:rPr>
        <w:t>p</w:t>
      </w:r>
      <w:r w:rsidRPr="00375136">
        <w:rPr>
          <w:rFonts w:ascii="Arial" w:hAnsi="Arial" w:cs="Arial"/>
          <w:sz w:val="22"/>
          <w:szCs w:val="22"/>
          <w:lang w:val="sq-AL"/>
        </w:rPr>
        <w:t>unë</w:t>
      </w:r>
      <w:r w:rsidR="00995B0D">
        <w:rPr>
          <w:rFonts w:ascii="Arial" w:hAnsi="Arial" w:cs="Arial"/>
          <w:sz w:val="22"/>
          <w:szCs w:val="22"/>
          <w:lang w:val="sq-AL"/>
        </w:rPr>
        <w:t xml:space="preserve">s,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ai mund të shqyrtojë vetëm ankesat nga personat të cilët pohojnë se janë viktimë </w:t>
      </w:r>
      <w:r w:rsidR="00995B0D">
        <w:rPr>
          <w:rFonts w:ascii="Arial" w:hAnsi="Arial" w:cs="Arial"/>
          <w:sz w:val="22"/>
          <w:szCs w:val="22"/>
          <w:lang w:val="sq-AL"/>
        </w:rPr>
        <w:t xml:space="preserve">e ndonjë </w:t>
      </w:r>
      <w:r w:rsidRPr="00375136">
        <w:rPr>
          <w:rFonts w:ascii="Arial" w:hAnsi="Arial" w:cs="Arial"/>
          <w:sz w:val="22"/>
          <w:szCs w:val="22"/>
          <w:lang w:val="sq-AL"/>
        </w:rPr>
        <w:t>shke</w:t>
      </w:r>
      <w:r w:rsidR="00995B0D">
        <w:rPr>
          <w:rFonts w:ascii="Arial" w:hAnsi="Arial" w:cs="Arial"/>
          <w:sz w:val="22"/>
          <w:szCs w:val="22"/>
          <w:lang w:val="sq-AL"/>
        </w:rPr>
        <w:t xml:space="preserve">lje të </w:t>
      </w:r>
      <w:proofErr w:type="spellStart"/>
      <w:r w:rsidR="00995B0D">
        <w:rPr>
          <w:rFonts w:ascii="Arial" w:hAnsi="Arial" w:cs="Arial"/>
          <w:sz w:val="22"/>
          <w:szCs w:val="22"/>
          <w:lang w:val="sq-AL"/>
        </w:rPr>
        <w:t>të</w:t>
      </w:r>
      <w:proofErr w:type="spellEnd"/>
      <w:r w:rsidR="00995B0D">
        <w:rPr>
          <w:rFonts w:ascii="Arial" w:hAnsi="Arial" w:cs="Arial"/>
          <w:sz w:val="22"/>
          <w:szCs w:val="22"/>
          <w:lang w:val="sq-AL"/>
        </w:rPr>
        <w:t xml:space="preserve">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drejtave të njeriut nga </w:t>
      </w:r>
      <w:r w:rsidR="00995B0D">
        <w:rPr>
          <w:rFonts w:ascii="Arial" w:hAnsi="Arial" w:cs="Arial"/>
          <w:sz w:val="22"/>
          <w:szCs w:val="22"/>
          <w:lang w:val="sq-AL"/>
        </w:rPr>
        <w:t xml:space="preserve">ana e </w:t>
      </w:r>
      <w:r w:rsidRPr="00375136">
        <w:rPr>
          <w:rFonts w:ascii="Arial" w:hAnsi="Arial" w:cs="Arial"/>
          <w:sz w:val="22"/>
          <w:szCs w:val="22"/>
          <w:lang w:val="sq-AL"/>
        </w:rPr>
        <w:t>EULEX</w:t>
      </w:r>
      <w:r w:rsidR="00995B0D">
        <w:rPr>
          <w:rFonts w:ascii="Arial" w:hAnsi="Arial" w:cs="Arial"/>
          <w:sz w:val="22"/>
          <w:szCs w:val="22"/>
          <w:lang w:val="sq-AL"/>
        </w:rPr>
        <w:t>-it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 Kosovë gjatë ushtrimit të mandatit të tij ekzekutiv në </w:t>
      </w:r>
      <w:r w:rsidR="00995B0D">
        <w:rPr>
          <w:rFonts w:ascii="Arial" w:hAnsi="Arial" w:cs="Arial"/>
          <w:sz w:val="22"/>
          <w:szCs w:val="22"/>
          <w:lang w:val="sq-AL"/>
        </w:rPr>
        <w:t xml:space="preserve">gjyqësi, </w:t>
      </w:r>
      <w:r w:rsidRPr="00375136">
        <w:rPr>
          <w:rFonts w:ascii="Arial" w:hAnsi="Arial" w:cs="Arial"/>
          <w:sz w:val="22"/>
          <w:szCs w:val="22"/>
          <w:lang w:val="sq-AL"/>
        </w:rPr>
        <w:t>polici</w:t>
      </w:r>
      <w:r w:rsidR="00995B0D">
        <w:rPr>
          <w:rFonts w:ascii="Arial" w:hAnsi="Arial" w:cs="Arial"/>
          <w:sz w:val="22"/>
          <w:szCs w:val="22"/>
          <w:lang w:val="sq-AL"/>
        </w:rPr>
        <w:t xml:space="preserve"> </w:t>
      </w:r>
      <w:r w:rsidRPr="00375136">
        <w:rPr>
          <w:rFonts w:ascii="Arial" w:hAnsi="Arial" w:cs="Arial"/>
          <w:sz w:val="22"/>
          <w:szCs w:val="22"/>
          <w:lang w:val="sq-AL"/>
        </w:rPr>
        <w:t>dhe dogan</w:t>
      </w:r>
      <w:r w:rsidR="000014A7">
        <w:rPr>
          <w:rFonts w:ascii="Arial" w:hAnsi="Arial" w:cs="Arial"/>
          <w:sz w:val="22"/>
          <w:szCs w:val="22"/>
          <w:lang w:val="sq-AL"/>
        </w:rPr>
        <w:t xml:space="preserve">ë.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Paneli do </w:t>
      </w:r>
      <w:r w:rsidR="00995B0D">
        <w:rPr>
          <w:rFonts w:ascii="Arial" w:hAnsi="Arial" w:cs="Arial"/>
          <w:sz w:val="22"/>
          <w:szCs w:val="22"/>
          <w:lang w:val="sq-AL"/>
        </w:rPr>
        <w:t>t’i</w:t>
      </w:r>
      <w:r w:rsidR="00620CD1">
        <w:rPr>
          <w:rFonts w:ascii="Arial" w:hAnsi="Arial" w:cs="Arial"/>
          <w:sz w:val="22"/>
          <w:szCs w:val="22"/>
          <w:lang w:val="sq-AL"/>
        </w:rPr>
        <w:t xml:space="preserve">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kthehet </w:t>
      </w:r>
      <w:r w:rsidR="00995B0D">
        <w:rPr>
          <w:rFonts w:ascii="Arial" w:hAnsi="Arial" w:cs="Arial"/>
          <w:sz w:val="22"/>
          <w:szCs w:val="22"/>
          <w:lang w:val="sq-AL"/>
        </w:rPr>
        <w:t>kësaj pyetjeje në vijim.</w:t>
      </w:r>
    </w:p>
    <w:p w:rsidR="00620CD1" w:rsidRDefault="00620CD1" w:rsidP="00375136">
      <w:pPr>
        <w:rPr>
          <w:rFonts w:ascii="Arial" w:hAnsi="Arial" w:cs="Arial"/>
          <w:sz w:val="22"/>
          <w:szCs w:val="22"/>
          <w:lang w:val="sq-AL"/>
        </w:rPr>
      </w:pPr>
    </w:p>
    <w:p w:rsidR="00620CD1" w:rsidRPr="00351494" w:rsidRDefault="00620CD1" w:rsidP="00375136">
      <w:pPr>
        <w:rPr>
          <w:rFonts w:ascii="Arial" w:hAnsi="Arial" w:cs="Arial"/>
          <w:sz w:val="22"/>
          <w:szCs w:val="22"/>
          <w:lang w:val="sq-AL"/>
        </w:rPr>
      </w:pPr>
      <w:r w:rsidRPr="00351494">
        <w:rPr>
          <w:rFonts w:ascii="Arial" w:hAnsi="Arial" w:cs="Arial"/>
          <w:sz w:val="22"/>
          <w:szCs w:val="22"/>
          <w:lang w:val="sq-AL"/>
        </w:rPr>
        <w:t>Statusi viktimë</w:t>
      </w:r>
    </w:p>
    <w:p w:rsidR="00620CD1" w:rsidRPr="00620CD1" w:rsidRDefault="00620CD1" w:rsidP="00375136">
      <w:pPr>
        <w:rPr>
          <w:rFonts w:ascii="Arial" w:hAnsi="Arial" w:cs="Arial"/>
          <w:sz w:val="22"/>
          <w:szCs w:val="22"/>
          <w:lang w:val="sq-AL"/>
        </w:rPr>
      </w:pPr>
    </w:p>
    <w:p w:rsidR="00375136" w:rsidRDefault="00375136" w:rsidP="003751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C62C23">
        <w:rPr>
          <w:rFonts w:ascii="Arial" w:hAnsi="Arial" w:cs="Arial"/>
          <w:sz w:val="22"/>
          <w:szCs w:val="22"/>
          <w:lang w:val="sq-AL"/>
        </w:rPr>
        <w:t>Në lidhje me këtë,</w:t>
      </w:r>
      <w:r w:rsidR="00955E34" w:rsidRPr="00C62C23">
        <w:rPr>
          <w:rFonts w:ascii="Arial" w:hAnsi="Arial" w:cs="Arial"/>
          <w:sz w:val="22"/>
          <w:szCs w:val="22"/>
          <w:lang w:val="sq-AL"/>
        </w:rPr>
        <w:t xml:space="preserve"> </w:t>
      </w:r>
      <w:r w:rsidRPr="00C62C23">
        <w:rPr>
          <w:rFonts w:ascii="Arial" w:hAnsi="Arial" w:cs="Arial"/>
          <w:sz w:val="22"/>
          <w:szCs w:val="22"/>
          <w:lang w:val="sq-AL"/>
        </w:rPr>
        <w:t xml:space="preserve">Paneli vëren se ankuesi pretendon se ai është viktimë e </w:t>
      </w:r>
      <w:r w:rsidR="00955E34" w:rsidRPr="00C62C23">
        <w:rPr>
          <w:rFonts w:ascii="Arial" w:hAnsi="Arial" w:cs="Arial"/>
          <w:sz w:val="22"/>
          <w:szCs w:val="22"/>
          <w:lang w:val="sq-AL"/>
        </w:rPr>
        <w:t xml:space="preserve">veprës së dyshuar </w:t>
      </w:r>
      <w:r w:rsidR="000014A7">
        <w:rPr>
          <w:rFonts w:ascii="Arial" w:hAnsi="Arial" w:cs="Arial"/>
          <w:sz w:val="22"/>
          <w:szCs w:val="22"/>
          <w:lang w:val="sq-AL"/>
        </w:rPr>
        <w:t xml:space="preserve">për korrupsion </w:t>
      </w:r>
      <w:r w:rsidRPr="00C62C23">
        <w:rPr>
          <w:rFonts w:ascii="Arial" w:hAnsi="Arial" w:cs="Arial"/>
          <w:sz w:val="22"/>
          <w:szCs w:val="22"/>
          <w:lang w:val="sq-AL"/>
        </w:rPr>
        <w:t>të kryetarit të komunës</w:t>
      </w:r>
      <w:r w:rsidR="00670C76" w:rsidRPr="00C62C23">
        <w:rPr>
          <w:rFonts w:ascii="Arial" w:hAnsi="Arial" w:cs="Arial"/>
          <w:sz w:val="22"/>
          <w:szCs w:val="22"/>
          <w:lang w:val="sq-AL"/>
        </w:rPr>
        <w:t xml:space="preserve"> ku </w:t>
      </w:r>
      <w:r w:rsidRPr="00C62C23">
        <w:rPr>
          <w:rFonts w:ascii="Arial" w:hAnsi="Arial" w:cs="Arial"/>
          <w:sz w:val="22"/>
          <w:szCs w:val="22"/>
          <w:lang w:val="sq-AL"/>
        </w:rPr>
        <w:t>ai jeto</w:t>
      </w:r>
      <w:r w:rsidR="00670C76" w:rsidRPr="00C62C23">
        <w:rPr>
          <w:rFonts w:ascii="Arial" w:hAnsi="Arial" w:cs="Arial"/>
          <w:sz w:val="22"/>
          <w:szCs w:val="22"/>
          <w:lang w:val="sq-AL"/>
        </w:rPr>
        <w:t xml:space="preserve">n. </w:t>
      </w:r>
      <w:r w:rsidRPr="00C62C23">
        <w:rPr>
          <w:rFonts w:ascii="Arial" w:hAnsi="Arial" w:cs="Arial"/>
          <w:sz w:val="22"/>
          <w:szCs w:val="22"/>
          <w:lang w:val="sq-AL"/>
        </w:rPr>
        <w:t>Panel</w:t>
      </w:r>
      <w:r w:rsidR="00670C76" w:rsidRPr="00C62C23">
        <w:rPr>
          <w:rFonts w:ascii="Arial" w:hAnsi="Arial" w:cs="Arial"/>
          <w:sz w:val="22"/>
          <w:szCs w:val="22"/>
          <w:lang w:val="sq-AL"/>
        </w:rPr>
        <w:t xml:space="preserve">i konstaton se </w:t>
      </w:r>
      <w:r w:rsidR="00C0404C">
        <w:rPr>
          <w:rFonts w:ascii="Arial" w:hAnsi="Arial" w:cs="Arial"/>
          <w:sz w:val="22"/>
          <w:szCs w:val="22"/>
          <w:lang w:val="sq-AL"/>
        </w:rPr>
        <w:t xml:space="preserve">nuk është konstatuar </w:t>
      </w:r>
      <w:r w:rsidR="00670C76" w:rsidRPr="00C62C23">
        <w:rPr>
          <w:rFonts w:ascii="Arial" w:hAnsi="Arial" w:cs="Arial"/>
          <w:sz w:val="22"/>
          <w:szCs w:val="22"/>
          <w:lang w:val="sq-AL"/>
        </w:rPr>
        <w:t>akuza për korrupsio</w:t>
      </w:r>
      <w:r w:rsidR="00C62C23" w:rsidRPr="00C62C23">
        <w:rPr>
          <w:rFonts w:ascii="Arial" w:hAnsi="Arial" w:cs="Arial"/>
          <w:sz w:val="22"/>
          <w:szCs w:val="22"/>
          <w:lang w:val="sq-AL"/>
        </w:rPr>
        <w:t>n dhe në</w:t>
      </w:r>
      <w:r w:rsidR="00D071AF">
        <w:rPr>
          <w:rFonts w:ascii="Arial" w:hAnsi="Arial" w:cs="Arial"/>
          <w:sz w:val="22"/>
          <w:szCs w:val="22"/>
          <w:lang w:val="sq-AL"/>
        </w:rPr>
        <w:t xml:space="preserve"> </w:t>
      </w:r>
      <w:r w:rsidR="00C62C23" w:rsidRPr="00C62C23">
        <w:rPr>
          <w:rFonts w:ascii="Arial" w:hAnsi="Arial" w:cs="Arial"/>
          <w:sz w:val="22"/>
          <w:szCs w:val="22"/>
          <w:lang w:val="sq-AL"/>
        </w:rPr>
        <w:t xml:space="preserve">të vërtetë ajo ishte </w:t>
      </w:r>
      <w:r w:rsidRPr="00C62C23">
        <w:rPr>
          <w:rFonts w:ascii="Arial" w:hAnsi="Arial" w:cs="Arial"/>
          <w:sz w:val="22"/>
          <w:szCs w:val="22"/>
          <w:lang w:val="sq-AL"/>
        </w:rPr>
        <w:t>h</w:t>
      </w:r>
      <w:r w:rsidR="00C62C23" w:rsidRPr="00C62C23">
        <w:rPr>
          <w:rFonts w:ascii="Arial" w:hAnsi="Arial" w:cs="Arial"/>
          <w:sz w:val="22"/>
          <w:szCs w:val="22"/>
          <w:lang w:val="sq-AL"/>
        </w:rPr>
        <w:t>e</w:t>
      </w:r>
      <w:r w:rsidRPr="00C62C23">
        <w:rPr>
          <w:rFonts w:ascii="Arial" w:hAnsi="Arial" w:cs="Arial"/>
          <w:sz w:val="22"/>
          <w:szCs w:val="22"/>
          <w:lang w:val="sq-AL"/>
        </w:rPr>
        <w:t>dh</w:t>
      </w:r>
      <w:r w:rsidR="00C62C23" w:rsidRPr="00C62C23">
        <w:rPr>
          <w:rFonts w:ascii="Arial" w:hAnsi="Arial" w:cs="Arial"/>
          <w:sz w:val="22"/>
          <w:szCs w:val="22"/>
          <w:lang w:val="sq-AL"/>
        </w:rPr>
        <w:t xml:space="preserve">ur </w:t>
      </w:r>
      <w:r w:rsidRPr="00C62C23">
        <w:rPr>
          <w:rFonts w:ascii="Arial" w:hAnsi="Arial" w:cs="Arial"/>
          <w:sz w:val="22"/>
          <w:szCs w:val="22"/>
          <w:lang w:val="sq-AL"/>
        </w:rPr>
        <w:t xml:space="preserve">poshtë nga autoritetet </w:t>
      </w:r>
      <w:r w:rsidR="00C62C23" w:rsidRPr="00C62C23">
        <w:rPr>
          <w:rFonts w:ascii="Arial" w:hAnsi="Arial" w:cs="Arial"/>
          <w:sz w:val="22"/>
          <w:szCs w:val="22"/>
          <w:lang w:val="sq-AL"/>
        </w:rPr>
        <w:t>kompetente.</w:t>
      </w:r>
    </w:p>
    <w:p w:rsidR="00C62C23" w:rsidRPr="00C62C23" w:rsidRDefault="00C62C23" w:rsidP="00C62C23">
      <w:pPr>
        <w:pStyle w:val="ListParagraph"/>
        <w:jc w:val="both"/>
        <w:rPr>
          <w:rFonts w:ascii="Arial" w:hAnsi="Arial" w:cs="Arial"/>
          <w:sz w:val="22"/>
          <w:szCs w:val="22"/>
          <w:lang w:val="sq-AL"/>
        </w:rPr>
      </w:pPr>
    </w:p>
    <w:p w:rsidR="00375136" w:rsidRDefault="00375136" w:rsidP="003751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375136">
        <w:rPr>
          <w:rFonts w:ascii="Arial" w:hAnsi="Arial" w:cs="Arial"/>
          <w:sz w:val="22"/>
          <w:szCs w:val="22"/>
          <w:lang w:val="sq-AL"/>
        </w:rPr>
        <w:t xml:space="preserve">Pas </w:t>
      </w:r>
      <w:r w:rsidR="00147375">
        <w:rPr>
          <w:rFonts w:ascii="Arial" w:hAnsi="Arial" w:cs="Arial"/>
          <w:sz w:val="22"/>
          <w:szCs w:val="22"/>
          <w:lang w:val="sq-AL"/>
        </w:rPr>
        <w:t xml:space="preserve">miratimit të fundit të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një </w:t>
      </w:r>
      <w:r w:rsidR="00147375">
        <w:rPr>
          <w:rFonts w:ascii="Arial" w:hAnsi="Arial" w:cs="Arial"/>
          <w:sz w:val="22"/>
          <w:szCs w:val="22"/>
          <w:lang w:val="sq-AL"/>
        </w:rPr>
        <w:t xml:space="preserve">sërë </w:t>
      </w:r>
      <w:r w:rsidRPr="00375136">
        <w:rPr>
          <w:rFonts w:ascii="Arial" w:hAnsi="Arial" w:cs="Arial"/>
          <w:sz w:val="22"/>
          <w:szCs w:val="22"/>
          <w:lang w:val="sq-AL"/>
        </w:rPr>
        <w:t>dokumentesh ndërkombëtare (kra</w:t>
      </w:r>
      <w:r w:rsidR="00147375">
        <w:rPr>
          <w:rFonts w:ascii="Arial" w:hAnsi="Arial" w:cs="Arial"/>
          <w:sz w:val="22"/>
          <w:szCs w:val="22"/>
          <w:lang w:val="sq-AL"/>
        </w:rPr>
        <w:t xml:space="preserve">hasoni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për shembull </w:t>
      </w:r>
      <w:hyperlink r:id="rId16" w:history="1">
        <w:r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>deklarat</w:t>
        </w:r>
        <w:r w:rsidR="00147375"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>ën</w:t>
        </w:r>
        <w:r w:rsidR="00CA4931"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>-</w:t>
        </w:r>
        <w:r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>ndër</w:t>
        </w:r>
        <w:r w:rsidR="00147375"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 xml:space="preserve"> </w:t>
        </w:r>
        <w:r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>rajonal</w:t>
        </w:r>
        <w:r w:rsidR="00147375" w:rsidRPr="000A6751">
          <w:rPr>
            <w:rStyle w:val="Hyperlink"/>
            <w:rFonts w:ascii="Arial" w:hAnsi="Arial" w:cs="Arial"/>
            <w:sz w:val="22"/>
            <w:szCs w:val="22"/>
            <w:lang w:val="sq-AL"/>
          </w:rPr>
          <w:t>e</w:t>
        </w:r>
      </w:hyperlink>
      <w:r w:rsidRPr="00375136">
        <w:rPr>
          <w:rFonts w:ascii="Arial" w:hAnsi="Arial" w:cs="Arial"/>
          <w:sz w:val="22"/>
          <w:szCs w:val="22"/>
          <w:lang w:val="sq-AL"/>
        </w:rPr>
        <w:t xml:space="preserve"> për korrupsion dhe të drejtat e njeriut </w:t>
      </w:r>
      <w:r w:rsidR="00147375">
        <w:rPr>
          <w:rFonts w:ascii="Arial" w:hAnsi="Arial" w:cs="Arial"/>
          <w:sz w:val="22"/>
          <w:szCs w:val="22"/>
          <w:lang w:val="sq-AL"/>
        </w:rPr>
        <w:t xml:space="preserve">të dhënë </w:t>
      </w:r>
      <w:r w:rsidRPr="00375136">
        <w:rPr>
          <w:rFonts w:ascii="Arial" w:hAnsi="Arial" w:cs="Arial"/>
          <w:sz w:val="22"/>
          <w:szCs w:val="22"/>
          <w:lang w:val="sq-AL"/>
        </w:rPr>
        <w:t>në seancën e 20</w:t>
      </w:r>
      <w:r w:rsidR="00147375">
        <w:rPr>
          <w:rFonts w:ascii="Arial" w:hAnsi="Arial" w:cs="Arial"/>
          <w:sz w:val="22"/>
          <w:szCs w:val="22"/>
          <w:lang w:val="sq-AL"/>
        </w:rPr>
        <w:t xml:space="preserve">-të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të Këshillit të </w:t>
      </w:r>
      <w:proofErr w:type="spellStart"/>
      <w:r w:rsidRPr="00375136">
        <w:rPr>
          <w:rFonts w:ascii="Arial" w:hAnsi="Arial" w:cs="Arial"/>
          <w:sz w:val="22"/>
          <w:szCs w:val="22"/>
          <w:lang w:val="sq-AL"/>
        </w:rPr>
        <w:t>të</w:t>
      </w:r>
      <w:proofErr w:type="spellEnd"/>
      <w:r w:rsidRPr="00375136">
        <w:rPr>
          <w:rFonts w:ascii="Arial" w:hAnsi="Arial" w:cs="Arial"/>
          <w:sz w:val="22"/>
          <w:szCs w:val="22"/>
          <w:lang w:val="sq-AL"/>
        </w:rPr>
        <w:t xml:space="preserve"> Drejtave të Njeriut në emër të 134 shtetev</w:t>
      </w:r>
      <w:r w:rsidR="00147375">
        <w:rPr>
          <w:rFonts w:ascii="Arial" w:hAnsi="Arial" w:cs="Arial"/>
          <w:sz w:val="22"/>
          <w:szCs w:val="22"/>
          <w:lang w:val="sq-AL"/>
        </w:rPr>
        <w:t>e</w:t>
      </w:r>
      <w:r w:rsidRPr="00375136">
        <w:rPr>
          <w:rFonts w:ascii="Arial" w:hAnsi="Arial" w:cs="Arial"/>
          <w:sz w:val="22"/>
          <w:szCs w:val="22"/>
          <w:lang w:val="sq-AL"/>
        </w:rPr>
        <w:t>)</w:t>
      </w:r>
      <w:r w:rsidR="00147375">
        <w:rPr>
          <w:rFonts w:ascii="Arial" w:hAnsi="Arial" w:cs="Arial"/>
          <w:sz w:val="22"/>
          <w:szCs w:val="22"/>
          <w:lang w:val="sq-AL"/>
        </w:rPr>
        <w:t xml:space="preserve">,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duke përfshirë </w:t>
      </w:r>
      <w:hyperlink r:id="rId17" w:history="1">
        <w:r w:rsidRPr="00C13883">
          <w:rPr>
            <w:rStyle w:val="Hyperlink"/>
            <w:rFonts w:ascii="Arial" w:hAnsi="Arial" w:cs="Arial"/>
            <w:sz w:val="22"/>
            <w:szCs w:val="22"/>
            <w:lang w:val="sq-AL"/>
          </w:rPr>
          <w:t>Konventën e Kombeve të Bashkuara kundër Korrupsioni</w:t>
        </w:r>
        <w:r w:rsidR="00A6169F" w:rsidRPr="00C13883">
          <w:rPr>
            <w:rStyle w:val="Hyperlink"/>
            <w:rFonts w:ascii="Arial" w:hAnsi="Arial" w:cs="Arial"/>
            <w:sz w:val="22"/>
            <w:szCs w:val="22"/>
            <w:lang w:val="sq-AL"/>
          </w:rPr>
          <w:t>t</w:t>
        </w:r>
      </w:hyperlink>
      <w:r w:rsidR="00A6169F">
        <w:rPr>
          <w:rFonts w:ascii="Arial" w:hAnsi="Arial" w:cs="Arial"/>
          <w:sz w:val="22"/>
          <w:szCs w:val="22"/>
          <w:lang w:val="sq-AL"/>
        </w:rPr>
        <w:t xml:space="preserve">, </w:t>
      </w:r>
      <w:r w:rsidR="00100741">
        <w:rPr>
          <w:rFonts w:ascii="Arial" w:hAnsi="Arial" w:cs="Arial"/>
          <w:sz w:val="22"/>
          <w:szCs w:val="22"/>
          <w:lang w:val="sq-AL"/>
        </w:rPr>
        <w:t xml:space="preserve">Paneli </w:t>
      </w:r>
      <w:r w:rsidR="00D563CC">
        <w:rPr>
          <w:rFonts w:ascii="Arial" w:hAnsi="Arial" w:cs="Arial"/>
          <w:sz w:val="22"/>
          <w:szCs w:val="22"/>
          <w:lang w:val="sq-AL"/>
        </w:rPr>
        <w:t xml:space="preserve">pranon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seriozitetin e problemeve dhe kërcënimeve </w:t>
      </w:r>
      <w:r w:rsidR="00100741">
        <w:rPr>
          <w:rFonts w:ascii="Arial" w:hAnsi="Arial" w:cs="Arial"/>
          <w:sz w:val="22"/>
          <w:szCs w:val="22"/>
          <w:lang w:val="sq-AL"/>
        </w:rPr>
        <w:t>që vijnë nga k</w:t>
      </w:r>
      <w:r w:rsidRPr="00375136">
        <w:rPr>
          <w:rFonts w:ascii="Arial" w:hAnsi="Arial" w:cs="Arial"/>
          <w:sz w:val="22"/>
          <w:szCs w:val="22"/>
          <w:lang w:val="sq-AL"/>
        </w:rPr>
        <w:t>orrupsi</w:t>
      </w:r>
      <w:r w:rsidR="00100741">
        <w:rPr>
          <w:rFonts w:ascii="Arial" w:hAnsi="Arial" w:cs="Arial"/>
          <w:sz w:val="22"/>
          <w:szCs w:val="22"/>
          <w:lang w:val="sq-AL"/>
        </w:rPr>
        <w:t xml:space="preserve">oni ndaj </w:t>
      </w:r>
      <w:r w:rsidRPr="00375136">
        <w:rPr>
          <w:rFonts w:ascii="Arial" w:hAnsi="Arial" w:cs="Arial"/>
          <w:sz w:val="22"/>
          <w:szCs w:val="22"/>
          <w:lang w:val="sq-AL"/>
        </w:rPr>
        <w:t>stabiliteti</w:t>
      </w:r>
      <w:r w:rsidR="00100741">
        <w:rPr>
          <w:rFonts w:ascii="Arial" w:hAnsi="Arial" w:cs="Arial"/>
          <w:sz w:val="22"/>
          <w:szCs w:val="22"/>
          <w:lang w:val="sq-AL"/>
        </w:rPr>
        <w:t xml:space="preserve">t dhe </w:t>
      </w:r>
      <w:r w:rsidRPr="00375136">
        <w:rPr>
          <w:rFonts w:ascii="Arial" w:hAnsi="Arial" w:cs="Arial"/>
          <w:sz w:val="22"/>
          <w:szCs w:val="22"/>
          <w:lang w:val="sq-AL"/>
        </w:rPr>
        <w:t>siguri</w:t>
      </w:r>
      <w:r w:rsidR="00100741">
        <w:rPr>
          <w:rFonts w:ascii="Arial" w:hAnsi="Arial" w:cs="Arial"/>
          <w:sz w:val="22"/>
          <w:szCs w:val="22"/>
          <w:lang w:val="sq-AL"/>
        </w:rPr>
        <w:t xml:space="preserve">së së </w:t>
      </w:r>
      <w:r w:rsidRPr="00375136">
        <w:rPr>
          <w:rFonts w:ascii="Arial" w:hAnsi="Arial" w:cs="Arial"/>
          <w:sz w:val="22"/>
          <w:szCs w:val="22"/>
          <w:lang w:val="sq-AL"/>
        </w:rPr>
        <w:t>shoqëri</w:t>
      </w:r>
      <w:r w:rsidR="00100741">
        <w:rPr>
          <w:rFonts w:ascii="Arial" w:hAnsi="Arial" w:cs="Arial"/>
          <w:sz w:val="22"/>
          <w:szCs w:val="22"/>
          <w:lang w:val="sq-AL"/>
        </w:rPr>
        <w:t xml:space="preserve">ve, </w:t>
      </w:r>
      <w:r w:rsidRPr="00375136">
        <w:rPr>
          <w:rFonts w:ascii="Arial" w:hAnsi="Arial" w:cs="Arial"/>
          <w:sz w:val="22"/>
          <w:szCs w:val="22"/>
          <w:lang w:val="sq-AL"/>
        </w:rPr>
        <w:t>duke minuar institucionet dhe vlerat e demokracisë</w:t>
      </w:r>
      <w:r w:rsidR="00100741">
        <w:rPr>
          <w:rFonts w:ascii="Arial" w:hAnsi="Arial" w:cs="Arial"/>
          <w:sz w:val="22"/>
          <w:szCs w:val="22"/>
          <w:lang w:val="sq-AL"/>
        </w:rPr>
        <w:t xml:space="preserve">, </w:t>
      </w:r>
      <w:r w:rsidRPr="00375136">
        <w:rPr>
          <w:rFonts w:ascii="Arial" w:hAnsi="Arial" w:cs="Arial"/>
          <w:sz w:val="22"/>
          <w:szCs w:val="22"/>
          <w:lang w:val="sq-AL"/>
        </w:rPr>
        <w:t>vlerat etike dhe drej</w:t>
      </w:r>
      <w:r w:rsidR="00C0404C">
        <w:rPr>
          <w:rFonts w:ascii="Arial" w:hAnsi="Arial" w:cs="Arial"/>
          <w:sz w:val="22"/>
          <w:szCs w:val="22"/>
          <w:lang w:val="sq-AL"/>
        </w:rPr>
        <w:t>tësinë.</w:t>
      </w:r>
    </w:p>
    <w:p w:rsidR="00375136" w:rsidRDefault="00375136" w:rsidP="003751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375136">
        <w:rPr>
          <w:rFonts w:ascii="Arial" w:hAnsi="Arial" w:cs="Arial"/>
          <w:sz w:val="22"/>
          <w:szCs w:val="22"/>
          <w:lang w:val="sq-AL"/>
        </w:rPr>
        <w:lastRenderedPageBreak/>
        <w:t>Paneli më tej pranon se në situata të caktuara korrupsioni mund</w:t>
      </w:r>
      <w:r w:rsidR="00BF42B8">
        <w:rPr>
          <w:rFonts w:ascii="Arial" w:hAnsi="Arial" w:cs="Arial"/>
          <w:sz w:val="22"/>
          <w:szCs w:val="22"/>
          <w:lang w:val="sq-AL"/>
        </w:rPr>
        <w:t xml:space="preserve"> </w:t>
      </w:r>
      <w:r w:rsidR="006E48D5">
        <w:rPr>
          <w:rFonts w:ascii="Arial" w:hAnsi="Arial" w:cs="Arial"/>
          <w:sz w:val="22"/>
          <w:szCs w:val="22"/>
          <w:lang w:val="sq-AL"/>
        </w:rPr>
        <w:t xml:space="preserve">me të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vërtetë të arrijë në ose të përfshijë </w:t>
      </w:r>
      <w:r w:rsidR="006E48D5">
        <w:rPr>
          <w:rFonts w:ascii="Arial" w:hAnsi="Arial" w:cs="Arial"/>
          <w:sz w:val="22"/>
          <w:szCs w:val="22"/>
          <w:lang w:val="sq-AL"/>
        </w:rPr>
        <w:t xml:space="preserve">ndonjë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kërcënim </w:t>
      </w:r>
      <w:r w:rsidR="006E48D5">
        <w:rPr>
          <w:rFonts w:ascii="Arial" w:hAnsi="Arial" w:cs="Arial"/>
          <w:sz w:val="22"/>
          <w:szCs w:val="22"/>
          <w:lang w:val="sq-AL"/>
        </w:rPr>
        <w:t xml:space="preserve">ndaj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gëzimin efektiv të </w:t>
      </w:r>
      <w:proofErr w:type="spellStart"/>
      <w:r w:rsidRPr="00375136">
        <w:rPr>
          <w:rFonts w:ascii="Arial" w:hAnsi="Arial" w:cs="Arial"/>
          <w:sz w:val="22"/>
          <w:szCs w:val="22"/>
          <w:lang w:val="sq-AL"/>
        </w:rPr>
        <w:t>të</w:t>
      </w:r>
      <w:proofErr w:type="spellEnd"/>
      <w:r w:rsidRPr="00375136">
        <w:rPr>
          <w:rFonts w:ascii="Arial" w:hAnsi="Arial" w:cs="Arial"/>
          <w:sz w:val="22"/>
          <w:szCs w:val="22"/>
          <w:lang w:val="sq-AL"/>
        </w:rPr>
        <w:t xml:space="preserve"> drejtave të njeriu</w:t>
      </w:r>
      <w:r w:rsidR="006E48D5">
        <w:rPr>
          <w:rFonts w:ascii="Arial" w:hAnsi="Arial" w:cs="Arial"/>
          <w:sz w:val="22"/>
          <w:szCs w:val="22"/>
          <w:lang w:val="sq-AL"/>
        </w:rPr>
        <w:t xml:space="preserve">t. </w:t>
      </w:r>
      <w:r w:rsidRPr="00375136">
        <w:rPr>
          <w:rFonts w:ascii="Arial" w:hAnsi="Arial" w:cs="Arial"/>
          <w:sz w:val="22"/>
          <w:szCs w:val="22"/>
          <w:lang w:val="sq-AL"/>
        </w:rPr>
        <w:t>Paneli thekson se korrupsion</w:t>
      </w:r>
      <w:r w:rsidR="006E48D5">
        <w:rPr>
          <w:rFonts w:ascii="Arial" w:hAnsi="Arial" w:cs="Arial"/>
          <w:sz w:val="22"/>
          <w:szCs w:val="22"/>
          <w:lang w:val="sq-AL"/>
        </w:rPr>
        <w:t xml:space="preserve">i </w:t>
      </w:r>
      <w:r w:rsidRPr="00375136">
        <w:rPr>
          <w:rFonts w:ascii="Arial" w:hAnsi="Arial" w:cs="Arial"/>
          <w:sz w:val="22"/>
          <w:szCs w:val="22"/>
          <w:lang w:val="sq-AL"/>
        </w:rPr>
        <w:t xml:space="preserve">në masën që e minon sundimin e ligjit dhe besimin e qytetarëve </w:t>
      </w:r>
      <w:r w:rsidR="00BF42B8">
        <w:rPr>
          <w:rFonts w:ascii="Arial" w:hAnsi="Arial" w:cs="Arial"/>
          <w:sz w:val="22"/>
          <w:szCs w:val="22"/>
          <w:lang w:val="sq-AL"/>
        </w:rPr>
        <w:t xml:space="preserve">ndaj efikasitetit të </w:t>
      </w:r>
      <w:r w:rsidRPr="00375136">
        <w:rPr>
          <w:rFonts w:ascii="Arial" w:hAnsi="Arial" w:cs="Arial"/>
          <w:sz w:val="22"/>
          <w:szCs w:val="22"/>
          <w:lang w:val="sq-AL"/>
        </w:rPr>
        <w:t>sistemit ligj</w:t>
      </w:r>
      <w:r w:rsidR="006E48D5">
        <w:rPr>
          <w:rFonts w:ascii="Arial" w:hAnsi="Arial" w:cs="Arial"/>
          <w:sz w:val="22"/>
          <w:szCs w:val="22"/>
          <w:lang w:val="sq-AL"/>
        </w:rPr>
        <w:t>or</w:t>
      </w:r>
      <w:r w:rsidR="00BF42B8">
        <w:rPr>
          <w:rFonts w:ascii="Arial" w:hAnsi="Arial" w:cs="Arial"/>
          <w:sz w:val="22"/>
          <w:szCs w:val="22"/>
          <w:lang w:val="sq-AL"/>
        </w:rPr>
        <w:t xml:space="preserve"> </w:t>
      </w:r>
      <w:r w:rsidRPr="00375136">
        <w:rPr>
          <w:rFonts w:ascii="Arial" w:hAnsi="Arial" w:cs="Arial"/>
          <w:sz w:val="22"/>
          <w:szCs w:val="22"/>
          <w:lang w:val="sq-AL"/>
        </w:rPr>
        <w:t>mund të përbëjnë një pengesë të pakapërcyeshme për realizimin efektiv dhe gëzimin e të drejtave të njeriu</w:t>
      </w:r>
      <w:r w:rsidR="006E48D5">
        <w:rPr>
          <w:rFonts w:ascii="Arial" w:hAnsi="Arial" w:cs="Arial"/>
          <w:sz w:val="22"/>
          <w:szCs w:val="22"/>
          <w:lang w:val="sq-AL"/>
        </w:rPr>
        <w:t>t.</w:t>
      </w:r>
    </w:p>
    <w:p w:rsidR="00375136" w:rsidRPr="00375136" w:rsidRDefault="00375136" w:rsidP="00375136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75136" w:rsidRDefault="005604E4" w:rsidP="005604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5604E4">
        <w:rPr>
          <w:rFonts w:ascii="Arial" w:hAnsi="Arial" w:cs="Arial"/>
          <w:sz w:val="22"/>
          <w:szCs w:val="22"/>
          <w:lang w:val="sq-AL"/>
        </w:rPr>
        <w:t>Megjithatë</w:t>
      </w:r>
      <w:r w:rsidR="007022FE">
        <w:rPr>
          <w:rFonts w:ascii="Arial" w:hAnsi="Arial" w:cs="Arial"/>
          <w:sz w:val="22"/>
          <w:szCs w:val="22"/>
          <w:lang w:val="sq-AL"/>
        </w:rPr>
        <w:t xml:space="preserve">, lidhur me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kuptimin e fjalës </w:t>
      </w:r>
      <w:r w:rsidR="007022FE">
        <w:rPr>
          <w:rFonts w:ascii="Arial" w:hAnsi="Arial" w:cs="Arial"/>
          <w:sz w:val="22"/>
          <w:szCs w:val="22"/>
          <w:lang w:val="sq-AL"/>
        </w:rPr>
        <w:t>“</w:t>
      </w:r>
      <w:r w:rsidRPr="005604E4">
        <w:rPr>
          <w:rFonts w:ascii="Arial" w:hAnsi="Arial" w:cs="Arial"/>
          <w:sz w:val="22"/>
          <w:szCs w:val="22"/>
          <w:lang w:val="sq-AL"/>
        </w:rPr>
        <w:t>viktim</w:t>
      </w:r>
      <w:r w:rsidR="007022FE">
        <w:rPr>
          <w:rFonts w:ascii="Arial" w:hAnsi="Arial" w:cs="Arial"/>
          <w:sz w:val="22"/>
          <w:szCs w:val="22"/>
          <w:lang w:val="sq-AL"/>
        </w:rPr>
        <w:t xml:space="preserve">ë”,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Gjykata Evropiane e të Drejtave të Njeriut ka gjetur në shumë raste se </w:t>
      </w:r>
      <w:r w:rsidR="007022FE">
        <w:rPr>
          <w:rFonts w:ascii="Arial" w:hAnsi="Arial" w:cs="Arial"/>
          <w:sz w:val="22"/>
          <w:szCs w:val="22"/>
          <w:lang w:val="sq-AL"/>
        </w:rPr>
        <w:t>“</w:t>
      </w:r>
      <w:r w:rsidRPr="005604E4">
        <w:rPr>
          <w:rFonts w:ascii="Arial" w:hAnsi="Arial" w:cs="Arial"/>
          <w:sz w:val="22"/>
          <w:szCs w:val="22"/>
          <w:lang w:val="sq-AL"/>
        </w:rPr>
        <w:t>viktim</w:t>
      </w:r>
      <w:r w:rsidR="007022FE">
        <w:rPr>
          <w:rFonts w:ascii="Arial" w:hAnsi="Arial" w:cs="Arial"/>
          <w:sz w:val="22"/>
          <w:szCs w:val="22"/>
          <w:lang w:val="sq-AL"/>
        </w:rPr>
        <w:t>a” sipas K</w:t>
      </w:r>
      <w:r w:rsidRPr="005604E4">
        <w:rPr>
          <w:rFonts w:ascii="Arial" w:hAnsi="Arial" w:cs="Arial"/>
          <w:sz w:val="22"/>
          <w:szCs w:val="22"/>
          <w:lang w:val="sq-AL"/>
        </w:rPr>
        <w:t>onventës tregon person</w:t>
      </w:r>
      <w:r w:rsidR="007022FE">
        <w:rPr>
          <w:rFonts w:ascii="Arial" w:hAnsi="Arial" w:cs="Arial"/>
          <w:sz w:val="22"/>
          <w:szCs w:val="22"/>
          <w:lang w:val="sq-AL"/>
        </w:rPr>
        <w:t xml:space="preserve">in që është i </w:t>
      </w:r>
      <w:r w:rsidRPr="005604E4">
        <w:rPr>
          <w:rFonts w:ascii="Arial" w:hAnsi="Arial" w:cs="Arial"/>
          <w:sz w:val="22"/>
          <w:szCs w:val="22"/>
          <w:lang w:val="sq-AL"/>
        </w:rPr>
        <w:t>prekur drejtpër</w:t>
      </w:r>
      <w:r w:rsidR="007022FE">
        <w:rPr>
          <w:rFonts w:ascii="Arial" w:hAnsi="Arial" w:cs="Arial"/>
          <w:sz w:val="22"/>
          <w:szCs w:val="22"/>
          <w:lang w:val="sq-AL"/>
        </w:rPr>
        <w:t xml:space="preserve">sëdrejti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nga veprimi apo mosveprimi në </w:t>
      </w:r>
      <w:r w:rsidR="007022FE">
        <w:rPr>
          <w:rFonts w:ascii="Arial" w:hAnsi="Arial" w:cs="Arial"/>
          <w:sz w:val="22"/>
          <w:szCs w:val="22"/>
          <w:lang w:val="sq-AL"/>
        </w:rPr>
        <w:t xml:space="preserve">fjalë </w:t>
      </w:r>
      <w:r w:rsidRPr="005604E4">
        <w:rPr>
          <w:rFonts w:ascii="Arial" w:hAnsi="Arial" w:cs="Arial"/>
          <w:sz w:val="22"/>
          <w:szCs w:val="22"/>
          <w:lang w:val="sq-AL"/>
        </w:rPr>
        <w:t>(shih</w:t>
      </w:r>
      <w:r w:rsidR="007022FE">
        <w:rPr>
          <w:rFonts w:ascii="Arial" w:hAnsi="Arial" w:cs="Arial"/>
          <w:sz w:val="22"/>
          <w:szCs w:val="22"/>
          <w:lang w:val="sq-AL"/>
        </w:rPr>
        <w:t xml:space="preserve"> </w:t>
      </w:r>
      <w:r w:rsidRPr="005604E4">
        <w:rPr>
          <w:rFonts w:ascii="Arial" w:hAnsi="Arial" w:cs="Arial"/>
          <w:sz w:val="22"/>
          <w:szCs w:val="22"/>
          <w:lang w:val="sq-AL"/>
        </w:rPr>
        <w:t>midis shumë autoritet</w:t>
      </w:r>
      <w:r w:rsidR="007022FE">
        <w:rPr>
          <w:rFonts w:ascii="Arial" w:hAnsi="Arial" w:cs="Arial"/>
          <w:sz w:val="22"/>
          <w:szCs w:val="22"/>
          <w:lang w:val="sq-AL"/>
        </w:rPr>
        <w:t xml:space="preserve">eve </w:t>
      </w:r>
      <w:r w:rsidRPr="007022FE">
        <w:rPr>
          <w:rFonts w:ascii="Arial" w:hAnsi="Arial" w:cs="Arial"/>
          <w:i/>
          <w:sz w:val="22"/>
          <w:szCs w:val="22"/>
          <w:lang w:val="sq-AL"/>
        </w:rPr>
        <w:t>Amuur kundër Francë</w:t>
      </w:r>
      <w:r w:rsidR="007022FE">
        <w:rPr>
          <w:rFonts w:ascii="Arial" w:hAnsi="Arial" w:cs="Arial"/>
          <w:i/>
          <w:sz w:val="22"/>
          <w:szCs w:val="22"/>
          <w:lang w:val="sq-AL"/>
        </w:rPr>
        <w:t>s</w:t>
      </w:r>
      <w:r w:rsidRPr="005604E4">
        <w:rPr>
          <w:rFonts w:ascii="Arial" w:hAnsi="Arial" w:cs="Arial"/>
          <w:sz w:val="22"/>
          <w:szCs w:val="22"/>
          <w:lang w:val="sq-AL"/>
        </w:rPr>
        <w:t>, 25 qershor 1996, pa</w:t>
      </w:r>
      <w:r w:rsidR="007022FE">
        <w:rPr>
          <w:rFonts w:ascii="Arial" w:hAnsi="Arial" w:cs="Arial"/>
          <w:sz w:val="22"/>
          <w:szCs w:val="22"/>
          <w:lang w:val="sq-AL"/>
        </w:rPr>
        <w:t xml:space="preserve">r. </w:t>
      </w:r>
      <w:r w:rsidRPr="005604E4">
        <w:rPr>
          <w:rFonts w:ascii="Arial" w:hAnsi="Arial" w:cs="Arial"/>
          <w:sz w:val="22"/>
          <w:szCs w:val="22"/>
          <w:lang w:val="sq-AL"/>
        </w:rPr>
        <w:t>36</w:t>
      </w:r>
      <w:r w:rsidR="007022FE">
        <w:rPr>
          <w:rFonts w:ascii="Arial" w:hAnsi="Arial" w:cs="Arial"/>
          <w:sz w:val="22"/>
          <w:szCs w:val="22"/>
          <w:lang w:val="sq-AL"/>
        </w:rPr>
        <w:t xml:space="preserve">, </w:t>
      </w:r>
      <w:r w:rsidRPr="005604E4">
        <w:rPr>
          <w:rFonts w:ascii="Arial" w:hAnsi="Arial" w:cs="Arial"/>
          <w:sz w:val="22"/>
          <w:szCs w:val="22"/>
          <w:lang w:val="sq-AL"/>
        </w:rPr>
        <w:t>Rapo</w:t>
      </w:r>
      <w:r w:rsidR="007022FE">
        <w:rPr>
          <w:rFonts w:ascii="Arial" w:hAnsi="Arial" w:cs="Arial"/>
          <w:sz w:val="22"/>
          <w:szCs w:val="22"/>
          <w:lang w:val="sq-AL"/>
        </w:rPr>
        <w:t xml:space="preserve">rtet e </w:t>
      </w:r>
      <w:r w:rsidRPr="005604E4">
        <w:rPr>
          <w:rFonts w:ascii="Arial" w:hAnsi="Arial" w:cs="Arial"/>
          <w:sz w:val="22"/>
          <w:szCs w:val="22"/>
          <w:lang w:val="sq-AL"/>
        </w:rPr>
        <w:t>Gjykimeve dhe Vendimeve 1996</w:t>
      </w:r>
      <w:r w:rsidR="007022FE">
        <w:rPr>
          <w:rFonts w:ascii="Arial" w:hAnsi="Arial" w:cs="Arial"/>
          <w:sz w:val="22"/>
          <w:szCs w:val="22"/>
          <w:lang w:val="sq-AL"/>
        </w:rPr>
        <w:t>-</w:t>
      </w:r>
      <w:r w:rsidRPr="005604E4">
        <w:rPr>
          <w:rFonts w:ascii="Arial" w:hAnsi="Arial" w:cs="Arial"/>
          <w:sz w:val="22"/>
          <w:szCs w:val="22"/>
          <w:lang w:val="sq-AL"/>
        </w:rPr>
        <w:t>III)</w:t>
      </w:r>
      <w:r w:rsidR="007022FE">
        <w:rPr>
          <w:rFonts w:ascii="Arial" w:hAnsi="Arial" w:cs="Arial"/>
          <w:sz w:val="22"/>
          <w:szCs w:val="22"/>
          <w:lang w:val="sq-AL"/>
        </w:rPr>
        <w:t>.</w:t>
      </w:r>
    </w:p>
    <w:p w:rsidR="005604E4" w:rsidRPr="005604E4" w:rsidRDefault="005604E4" w:rsidP="005604E4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5604E4" w:rsidRDefault="005604E4" w:rsidP="005604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5604E4">
        <w:rPr>
          <w:rFonts w:ascii="Arial" w:hAnsi="Arial" w:cs="Arial"/>
          <w:sz w:val="22"/>
          <w:szCs w:val="22"/>
          <w:lang w:val="sq-AL"/>
        </w:rPr>
        <w:t xml:space="preserve">Paneli nuk e përjashton si </w:t>
      </w:r>
      <w:r w:rsidR="0068457D">
        <w:rPr>
          <w:rFonts w:ascii="Arial" w:hAnsi="Arial" w:cs="Arial"/>
          <w:sz w:val="22"/>
          <w:szCs w:val="22"/>
          <w:lang w:val="sq-AL"/>
        </w:rPr>
        <w:t xml:space="preserve">të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tillë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se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sjellja e korruptuar e një zyrtari publik do të mund t'i japë </w:t>
      </w:r>
      <w:r w:rsidR="00C0404C" w:rsidRPr="005604E4">
        <w:rPr>
          <w:rFonts w:ascii="Arial" w:hAnsi="Arial" w:cs="Arial"/>
          <w:sz w:val="22"/>
          <w:szCs w:val="22"/>
          <w:lang w:val="sq-AL"/>
        </w:rPr>
        <w:t>një individ</w:t>
      </w:r>
      <w:r w:rsidR="00C0404C">
        <w:rPr>
          <w:rFonts w:ascii="Arial" w:hAnsi="Arial" w:cs="Arial"/>
          <w:sz w:val="22"/>
          <w:szCs w:val="22"/>
          <w:lang w:val="sq-AL"/>
        </w:rPr>
        <w:t>i</w:t>
      </w:r>
      <w:r w:rsidR="00C0404C" w:rsidRPr="005604E4">
        <w:rPr>
          <w:rFonts w:ascii="Arial" w:hAnsi="Arial" w:cs="Arial"/>
          <w:sz w:val="22"/>
          <w:szCs w:val="22"/>
          <w:lang w:val="sq-AL"/>
        </w:rPr>
        <w:t xml:space="preserve"> </w:t>
      </w:r>
      <w:r w:rsidRPr="005604E4">
        <w:rPr>
          <w:rFonts w:ascii="Arial" w:hAnsi="Arial" w:cs="Arial"/>
          <w:sz w:val="22"/>
          <w:szCs w:val="22"/>
          <w:lang w:val="sq-AL"/>
        </w:rPr>
        <w:t>statusin e viktimës</w:t>
      </w:r>
      <w:r w:rsidR="007C2E1B">
        <w:rPr>
          <w:rFonts w:ascii="Arial" w:hAnsi="Arial" w:cs="Arial"/>
          <w:sz w:val="22"/>
          <w:szCs w:val="22"/>
          <w:lang w:val="sq-AL"/>
        </w:rPr>
        <w:t xml:space="preserve">,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të drejtat e njeriut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të </w:t>
      </w:r>
      <w:proofErr w:type="spellStart"/>
      <w:r w:rsidR="007C2E1B">
        <w:rPr>
          <w:rFonts w:ascii="Arial" w:hAnsi="Arial" w:cs="Arial"/>
          <w:sz w:val="22"/>
          <w:szCs w:val="22"/>
          <w:lang w:val="sq-AL"/>
        </w:rPr>
        <w:t>të</w:t>
      </w:r>
      <w:proofErr w:type="spellEnd"/>
      <w:r w:rsidR="007C2E1B">
        <w:rPr>
          <w:rFonts w:ascii="Arial" w:hAnsi="Arial" w:cs="Arial"/>
          <w:sz w:val="22"/>
          <w:szCs w:val="22"/>
          <w:lang w:val="sq-AL"/>
        </w:rPr>
        <w:t xml:space="preserve"> cilit janë </w:t>
      </w:r>
      <w:r w:rsidRPr="005604E4">
        <w:rPr>
          <w:rFonts w:ascii="Arial" w:hAnsi="Arial" w:cs="Arial"/>
          <w:sz w:val="22"/>
          <w:szCs w:val="22"/>
          <w:lang w:val="sq-AL"/>
        </w:rPr>
        <w:t>prekur nga një sjellje e till</w:t>
      </w:r>
      <w:r w:rsidR="007C2E1B">
        <w:rPr>
          <w:rFonts w:ascii="Arial" w:hAnsi="Arial" w:cs="Arial"/>
          <w:sz w:val="22"/>
          <w:szCs w:val="22"/>
          <w:lang w:val="sq-AL"/>
        </w:rPr>
        <w:t xml:space="preserve">ë. </w:t>
      </w:r>
      <w:r w:rsidRPr="005604E4">
        <w:rPr>
          <w:rFonts w:ascii="Arial" w:hAnsi="Arial" w:cs="Arial"/>
          <w:sz w:val="22"/>
          <w:szCs w:val="22"/>
          <w:lang w:val="sq-AL"/>
        </w:rPr>
        <w:t>Megjithatë</w:t>
      </w:r>
      <w:r w:rsidR="007C2E1B">
        <w:rPr>
          <w:rFonts w:ascii="Arial" w:hAnsi="Arial" w:cs="Arial"/>
          <w:sz w:val="22"/>
          <w:szCs w:val="22"/>
          <w:lang w:val="sq-AL"/>
        </w:rPr>
        <w:t xml:space="preserve"> në mënyrë që kjo të përbëjë rast,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do të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duhej të ishte e </w:t>
      </w:r>
      <w:r w:rsidRPr="005604E4">
        <w:rPr>
          <w:rFonts w:ascii="Arial" w:hAnsi="Arial" w:cs="Arial"/>
          <w:sz w:val="22"/>
          <w:szCs w:val="22"/>
          <w:lang w:val="sq-AL"/>
        </w:rPr>
        <w:t>nevojsh</w:t>
      </w:r>
      <w:r w:rsidR="007C2E1B">
        <w:rPr>
          <w:rFonts w:ascii="Arial" w:hAnsi="Arial" w:cs="Arial"/>
          <w:sz w:val="22"/>
          <w:szCs w:val="22"/>
          <w:lang w:val="sq-AL"/>
        </w:rPr>
        <w:t xml:space="preserve">me </w:t>
      </w:r>
      <w:r w:rsidR="000225C0">
        <w:rPr>
          <w:rFonts w:ascii="Arial" w:hAnsi="Arial" w:cs="Arial"/>
          <w:sz w:val="22"/>
          <w:szCs w:val="22"/>
          <w:lang w:val="sq-AL"/>
        </w:rPr>
        <w:t xml:space="preserve">të konstatohej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një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lidhje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midis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sjelljes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së dyshuar </w:t>
      </w:r>
      <w:r w:rsidR="00BD30DA">
        <w:rPr>
          <w:rFonts w:ascii="Arial" w:hAnsi="Arial" w:cs="Arial"/>
          <w:sz w:val="22"/>
          <w:szCs w:val="22"/>
          <w:lang w:val="sq-AL"/>
        </w:rPr>
        <w:t xml:space="preserve">për korrupsion </w:t>
      </w:r>
      <w:r w:rsidR="007C2E1B">
        <w:rPr>
          <w:rFonts w:ascii="Arial" w:hAnsi="Arial" w:cs="Arial"/>
          <w:sz w:val="22"/>
          <w:szCs w:val="22"/>
          <w:lang w:val="sq-AL"/>
        </w:rPr>
        <w:t xml:space="preserve">dhe </w:t>
      </w:r>
      <w:r w:rsidRPr="005604E4">
        <w:rPr>
          <w:rFonts w:ascii="Arial" w:hAnsi="Arial" w:cs="Arial"/>
          <w:sz w:val="22"/>
          <w:szCs w:val="22"/>
          <w:lang w:val="sq-AL"/>
        </w:rPr>
        <w:t>pasoja</w:t>
      </w:r>
      <w:r w:rsidR="007C2E1B">
        <w:rPr>
          <w:rFonts w:ascii="Arial" w:hAnsi="Arial" w:cs="Arial"/>
          <w:sz w:val="22"/>
          <w:szCs w:val="22"/>
          <w:lang w:val="sq-AL"/>
        </w:rPr>
        <w:t xml:space="preserve">ve të </w:t>
      </w:r>
      <w:r w:rsidRPr="005604E4">
        <w:rPr>
          <w:rFonts w:ascii="Arial" w:hAnsi="Arial" w:cs="Arial"/>
          <w:sz w:val="22"/>
          <w:szCs w:val="22"/>
          <w:lang w:val="sq-AL"/>
        </w:rPr>
        <w:t xml:space="preserve">dëmshme </w:t>
      </w:r>
      <w:r w:rsidR="000225C0">
        <w:rPr>
          <w:rFonts w:ascii="Arial" w:hAnsi="Arial" w:cs="Arial"/>
          <w:sz w:val="22"/>
          <w:szCs w:val="22"/>
          <w:lang w:val="sq-AL"/>
        </w:rPr>
        <w:t xml:space="preserve">për </w:t>
      </w:r>
      <w:r w:rsidRPr="005604E4">
        <w:rPr>
          <w:rFonts w:ascii="Arial" w:hAnsi="Arial" w:cs="Arial"/>
          <w:sz w:val="22"/>
          <w:szCs w:val="22"/>
          <w:lang w:val="sq-AL"/>
        </w:rPr>
        <w:t>të drej</w:t>
      </w:r>
      <w:r w:rsidR="00D421DC">
        <w:rPr>
          <w:rFonts w:ascii="Arial" w:hAnsi="Arial" w:cs="Arial"/>
          <w:sz w:val="22"/>
          <w:szCs w:val="22"/>
          <w:lang w:val="sq-AL"/>
        </w:rPr>
        <w:t>t</w:t>
      </w:r>
      <w:r w:rsidR="000225C0">
        <w:rPr>
          <w:rFonts w:ascii="Arial" w:hAnsi="Arial" w:cs="Arial"/>
          <w:sz w:val="22"/>
          <w:szCs w:val="22"/>
          <w:lang w:val="sq-AL"/>
        </w:rPr>
        <w:t xml:space="preserve">at e </w:t>
      </w:r>
      <w:r w:rsidR="00D421DC">
        <w:rPr>
          <w:rFonts w:ascii="Arial" w:hAnsi="Arial" w:cs="Arial"/>
          <w:sz w:val="22"/>
          <w:szCs w:val="22"/>
          <w:lang w:val="sq-AL"/>
        </w:rPr>
        <w:t>n</w:t>
      </w:r>
      <w:r w:rsidRPr="005604E4">
        <w:rPr>
          <w:rFonts w:ascii="Arial" w:hAnsi="Arial" w:cs="Arial"/>
          <w:sz w:val="22"/>
          <w:szCs w:val="22"/>
          <w:lang w:val="sq-AL"/>
        </w:rPr>
        <w:t>jeriu</w:t>
      </w:r>
      <w:r w:rsidR="00BD30DA">
        <w:rPr>
          <w:rFonts w:ascii="Arial" w:hAnsi="Arial" w:cs="Arial"/>
          <w:sz w:val="22"/>
          <w:szCs w:val="22"/>
          <w:lang w:val="sq-AL"/>
        </w:rPr>
        <w:t>t</w:t>
      </w:r>
      <w:r w:rsidR="000225C0">
        <w:rPr>
          <w:rFonts w:ascii="Arial" w:hAnsi="Arial" w:cs="Arial"/>
          <w:sz w:val="22"/>
          <w:szCs w:val="22"/>
          <w:lang w:val="sq-AL"/>
        </w:rPr>
        <w:t xml:space="preserve"> ndaj atij </w:t>
      </w:r>
      <w:r w:rsidR="00D421DC">
        <w:rPr>
          <w:rFonts w:ascii="Arial" w:hAnsi="Arial" w:cs="Arial"/>
          <w:sz w:val="22"/>
          <w:szCs w:val="22"/>
          <w:lang w:val="sq-AL"/>
        </w:rPr>
        <w:t>i</w:t>
      </w:r>
      <w:r w:rsidRPr="005604E4">
        <w:rPr>
          <w:rFonts w:ascii="Arial" w:hAnsi="Arial" w:cs="Arial"/>
          <w:sz w:val="22"/>
          <w:szCs w:val="22"/>
          <w:lang w:val="sq-AL"/>
        </w:rPr>
        <w:t>ndiv</w:t>
      </w:r>
      <w:r w:rsidR="000225C0">
        <w:rPr>
          <w:rFonts w:ascii="Arial" w:hAnsi="Arial" w:cs="Arial"/>
          <w:sz w:val="22"/>
          <w:szCs w:val="22"/>
          <w:lang w:val="sq-AL"/>
        </w:rPr>
        <w:t>idi.</w:t>
      </w:r>
    </w:p>
    <w:p w:rsidR="005604E4" w:rsidRPr="005604E4" w:rsidRDefault="005604E4" w:rsidP="005604E4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5604E4" w:rsidRDefault="005604E4" w:rsidP="005604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845EFA">
        <w:rPr>
          <w:rFonts w:ascii="Arial" w:hAnsi="Arial" w:cs="Arial"/>
          <w:sz w:val="22"/>
          <w:szCs w:val="22"/>
          <w:lang w:val="sq-AL"/>
        </w:rPr>
        <w:t>Në lidhje me këtë,</w:t>
      </w:r>
      <w:r w:rsidR="00D421DC" w:rsidRPr="00845EFA">
        <w:rPr>
          <w:rFonts w:ascii="Arial" w:hAnsi="Arial" w:cs="Arial"/>
          <w:sz w:val="22"/>
          <w:szCs w:val="22"/>
          <w:lang w:val="sq-AL"/>
        </w:rPr>
        <w:t xml:space="preserve">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Paneli vëren se ankuesi nuk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ka parashtruar </w:t>
      </w:r>
      <w:r w:rsidRPr="00845EFA">
        <w:rPr>
          <w:rFonts w:ascii="Arial" w:hAnsi="Arial" w:cs="Arial"/>
          <w:sz w:val="22"/>
          <w:szCs w:val="22"/>
          <w:lang w:val="sq-AL"/>
        </w:rPr>
        <w:t>argu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mente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që do të lejonin Paneli për të pranuar se ai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vetë </w:t>
      </w:r>
      <w:r w:rsidRPr="00845EFA">
        <w:rPr>
          <w:rFonts w:ascii="Arial" w:hAnsi="Arial" w:cs="Arial"/>
          <w:sz w:val="22"/>
          <w:szCs w:val="22"/>
          <w:lang w:val="sq-AL"/>
        </w:rPr>
        <w:t>kishte pësua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r </w:t>
      </w:r>
      <w:r w:rsidRPr="00845EFA">
        <w:rPr>
          <w:rFonts w:ascii="Arial" w:hAnsi="Arial" w:cs="Arial"/>
          <w:sz w:val="22"/>
          <w:szCs w:val="22"/>
          <w:lang w:val="sq-AL"/>
        </w:rPr>
        <w:t>pasoja të dëmsh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me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si rezultat i sjelljes së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dyshuar </w:t>
      </w:r>
      <w:r w:rsidRPr="00845EFA">
        <w:rPr>
          <w:rFonts w:ascii="Arial" w:hAnsi="Arial" w:cs="Arial"/>
          <w:sz w:val="22"/>
          <w:szCs w:val="22"/>
          <w:lang w:val="sq-AL"/>
        </w:rPr>
        <w:t>të autoriteteve komun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ale,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përveç pakënaqësisë së tij </w:t>
      </w:r>
      <w:r w:rsidR="00BD30DA">
        <w:rPr>
          <w:rFonts w:ascii="Arial" w:hAnsi="Arial" w:cs="Arial"/>
          <w:sz w:val="22"/>
          <w:szCs w:val="22"/>
          <w:lang w:val="sq-AL"/>
        </w:rPr>
        <w:t xml:space="preserve">rreth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gjoja </w:t>
      </w:r>
      <w:r w:rsidR="000225C0">
        <w:rPr>
          <w:rFonts w:ascii="Arial" w:hAnsi="Arial" w:cs="Arial"/>
          <w:sz w:val="22"/>
          <w:szCs w:val="22"/>
          <w:lang w:val="sq-AL"/>
        </w:rPr>
        <w:t xml:space="preserve">ndarjes jo </w:t>
      </w:r>
      <w:r w:rsidRPr="00845EFA">
        <w:rPr>
          <w:rFonts w:ascii="Arial" w:hAnsi="Arial" w:cs="Arial"/>
          <w:sz w:val="22"/>
          <w:szCs w:val="22"/>
          <w:lang w:val="sq-AL"/>
        </w:rPr>
        <w:t>të duhur të pjesë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s së </w:t>
      </w:r>
      <w:r w:rsidRPr="00845EFA">
        <w:rPr>
          <w:rFonts w:ascii="Arial" w:hAnsi="Arial" w:cs="Arial"/>
          <w:sz w:val="22"/>
          <w:szCs w:val="22"/>
          <w:lang w:val="sq-AL"/>
        </w:rPr>
        <w:t>buxhetit komu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nal. Nuk është </w:t>
      </w:r>
      <w:r w:rsidRPr="00845EFA">
        <w:rPr>
          <w:rFonts w:ascii="Arial" w:hAnsi="Arial" w:cs="Arial"/>
          <w:sz w:val="22"/>
          <w:szCs w:val="22"/>
          <w:lang w:val="sq-AL"/>
        </w:rPr>
        <w:t>treguar se vendim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i </w:t>
      </w:r>
      <w:r w:rsidRPr="00845EFA">
        <w:rPr>
          <w:rFonts w:ascii="Arial" w:hAnsi="Arial" w:cs="Arial"/>
          <w:sz w:val="22"/>
          <w:szCs w:val="22"/>
          <w:lang w:val="sq-AL"/>
        </w:rPr>
        <w:t>për të ndër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prerë </w:t>
      </w:r>
      <w:r w:rsidRPr="00845EFA">
        <w:rPr>
          <w:rFonts w:ascii="Arial" w:hAnsi="Arial" w:cs="Arial"/>
          <w:sz w:val="22"/>
          <w:szCs w:val="22"/>
          <w:lang w:val="sq-AL"/>
        </w:rPr>
        <w:t>het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imin ka </w:t>
      </w:r>
      <w:r w:rsidRPr="00845EFA">
        <w:rPr>
          <w:rFonts w:ascii="Arial" w:hAnsi="Arial" w:cs="Arial"/>
          <w:sz w:val="22"/>
          <w:szCs w:val="22"/>
          <w:lang w:val="sq-AL"/>
        </w:rPr>
        <w:t>pr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ekur </w:t>
      </w:r>
      <w:r w:rsidRPr="00845EFA">
        <w:rPr>
          <w:rFonts w:ascii="Arial" w:hAnsi="Arial" w:cs="Arial"/>
          <w:sz w:val="22"/>
          <w:szCs w:val="22"/>
          <w:lang w:val="sq-AL"/>
        </w:rPr>
        <w:t>të drejtat e njeriut të ankue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sit,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apo </w:t>
      </w:r>
      <w:r w:rsidR="00845EFA" w:rsidRPr="00845EFA">
        <w:rPr>
          <w:rFonts w:ascii="Arial" w:hAnsi="Arial" w:cs="Arial"/>
          <w:sz w:val="22"/>
          <w:szCs w:val="22"/>
          <w:lang w:val="sq-AL"/>
        </w:rPr>
        <w:t xml:space="preserve">qoftë edhe të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drejtat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e njeriut </w:t>
      </w:r>
      <w:r w:rsidRPr="00845EFA">
        <w:rPr>
          <w:rFonts w:ascii="Arial" w:hAnsi="Arial" w:cs="Arial"/>
          <w:sz w:val="22"/>
          <w:szCs w:val="22"/>
          <w:lang w:val="sq-AL"/>
        </w:rPr>
        <w:t>të personave të tjerë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,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të cilët kishin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parashtruar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ankesën e tyre 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tek </w:t>
      </w:r>
      <w:r w:rsidRPr="00845EFA">
        <w:rPr>
          <w:rFonts w:ascii="Arial" w:hAnsi="Arial" w:cs="Arial"/>
          <w:sz w:val="22"/>
          <w:szCs w:val="22"/>
          <w:lang w:val="sq-AL"/>
        </w:rPr>
        <w:t>autorite</w:t>
      </w:r>
      <w:r w:rsidR="00E93FD1" w:rsidRPr="00845EFA">
        <w:rPr>
          <w:rFonts w:ascii="Arial" w:hAnsi="Arial" w:cs="Arial"/>
          <w:sz w:val="22"/>
          <w:szCs w:val="22"/>
          <w:lang w:val="sq-AL"/>
        </w:rPr>
        <w:t xml:space="preserve">tet e </w:t>
      </w:r>
      <w:r w:rsidRPr="00845EFA">
        <w:rPr>
          <w:rFonts w:ascii="Arial" w:hAnsi="Arial" w:cs="Arial"/>
          <w:sz w:val="22"/>
          <w:szCs w:val="22"/>
          <w:lang w:val="sq-AL"/>
        </w:rPr>
        <w:t>ndjekje</w:t>
      </w:r>
      <w:r w:rsidR="00BD30DA">
        <w:rPr>
          <w:rFonts w:ascii="Arial" w:hAnsi="Arial" w:cs="Arial"/>
          <w:sz w:val="22"/>
          <w:szCs w:val="22"/>
          <w:lang w:val="sq-AL"/>
        </w:rPr>
        <w:t xml:space="preserve">s </w:t>
      </w:r>
      <w:r w:rsidRPr="00845EFA">
        <w:rPr>
          <w:rFonts w:ascii="Arial" w:hAnsi="Arial" w:cs="Arial"/>
          <w:sz w:val="22"/>
          <w:szCs w:val="22"/>
          <w:lang w:val="sq-AL"/>
        </w:rPr>
        <w:t xml:space="preserve">për </w:t>
      </w:r>
      <w:r w:rsidR="00845EFA" w:rsidRPr="00845EFA">
        <w:rPr>
          <w:rFonts w:ascii="Arial" w:hAnsi="Arial" w:cs="Arial"/>
          <w:sz w:val="22"/>
          <w:szCs w:val="22"/>
          <w:lang w:val="sq-AL"/>
        </w:rPr>
        <w:t>atë çështje.</w:t>
      </w:r>
    </w:p>
    <w:p w:rsidR="00845EFA" w:rsidRPr="00845EFA" w:rsidRDefault="00845EFA" w:rsidP="00845EFA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75136" w:rsidRPr="005604E4" w:rsidRDefault="00845EFA" w:rsidP="003751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Prandaj, </w:t>
      </w:r>
      <w:r w:rsidR="005604E4" w:rsidRPr="005604E4">
        <w:rPr>
          <w:rFonts w:ascii="Arial" w:hAnsi="Arial" w:cs="Arial"/>
          <w:sz w:val="22"/>
          <w:szCs w:val="22"/>
          <w:lang w:val="sq-AL"/>
        </w:rPr>
        <w:t xml:space="preserve">Paneli </w:t>
      </w:r>
      <w:r w:rsidR="000225C0">
        <w:rPr>
          <w:rFonts w:ascii="Arial" w:hAnsi="Arial" w:cs="Arial"/>
          <w:sz w:val="22"/>
          <w:szCs w:val="22"/>
          <w:lang w:val="sq-AL"/>
        </w:rPr>
        <w:t xml:space="preserve">nxjerr si përfundim se </w:t>
      </w:r>
      <w:r w:rsidR="005604E4" w:rsidRPr="005604E4">
        <w:rPr>
          <w:rFonts w:ascii="Arial" w:hAnsi="Arial" w:cs="Arial"/>
          <w:sz w:val="22"/>
          <w:szCs w:val="22"/>
          <w:lang w:val="sq-AL"/>
        </w:rPr>
        <w:t>parashtruesi i ankesës nuk mund të pretend</w:t>
      </w:r>
      <w:r w:rsidR="00B70C8C">
        <w:rPr>
          <w:rFonts w:ascii="Arial" w:hAnsi="Arial" w:cs="Arial"/>
          <w:sz w:val="22"/>
          <w:szCs w:val="22"/>
          <w:lang w:val="sq-AL"/>
        </w:rPr>
        <w:t xml:space="preserve">oj se është </w:t>
      </w:r>
      <w:r w:rsidR="005604E4" w:rsidRPr="005604E4">
        <w:rPr>
          <w:rFonts w:ascii="Arial" w:hAnsi="Arial" w:cs="Arial"/>
          <w:sz w:val="22"/>
          <w:szCs w:val="22"/>
          <w:lang w:val="sq-AL"/>
        </w:rPr>
        <w:t>viktimë e shkeljes së të drejtave të njeriut nga EULEX</w:t>
      </w:r>
      <w:r w:rsidR="00E27873">
        <w:rPr>
          <w:rFonts w:ascii="Arial" w:hAnsi="Arial" w:cs="Arial"/>
          <w:sz w:val="22"/>
          <w:szCs w:val="22"/>
          <w:lang w:val="sq-AL"/>
        </w:rPr>
        <w:t xml:space="preserve">-i </w:t>
      </w:r>
      <w:r w:rsidR="000225C0">
        <w:rPr>
          <w:rFonts w:ascii="Arial" w:hAnsi="Arial" w:cs="Arial"/>
          <w:sz w:val="22"/>
          <w:szCs w:val="22"/>
          <w:lang w:val="sq-AL"/>
        </w:rPr>
        <w:t xml:space="preserve">në </w:t>
      </w:r>
      <w:r w:rsidR="00E27873">
        <w:rPr>
          <w:rFonts w:ascii="Arial" w:hAnsi="Arial" w:cs="Arial"/>
          <w:sz w:val="22"/>
          <w:szCs w:val="22"/>
          <w:lang w:val="sq-AL"/>
        </w:rPr>
        <w:t>Kosovë sipas rreg</w:t>
      </w:r>
      <w:r w:rsidR="005604E4" w:rsidRPr="005604E4">
        <w:rPr>
          <w:rFonts w:ascii="Arial" w:hAnsi="Arial" w:cs="Arial"/>
          <w:sz w:val="22"/>
          <w:szCs w:val="22"/>
          <w:lang w:val="sq-AL"/>
        </w:rPr>
        <w:t xml:space="preserve">ullës 25, paragrafi 1 i </w:t>
      </w:r>
      <w:r w:rsidR="00C820E1">
        <w:rPr>
          <w:rFonts w:ascii="Arial" w:hAnsi="Arial" w:cs="Arial"/>
          <w:sz w:val="22"/>
          <w:szCs w:val="22"/>
          <w:lang w:val="sq-AL"/>
        </w:rPr>
        <w:t>rr</w:t>
      </w:r>
      <w:r w:rsidR="005604E4" w:rsidRPr="005604E4">
        <w:rPr>
          <w:rFonts w:ascii="Arial" w:hAnsi="Arial" w:cs="Arial"/>
          <w:sz w:val="22"/>
          <w:szCs w:val="22"/>
          <w:lang w:val="sq-AL"/>
        </w:rPr>
        <w:t xml:space="preserve">egullores së </w:t>
      </w:r>
      <w:r w:rsidR="00C820E1">
        <w:rPr>
          <w:rFonts w:ascii="Arial" w:hAnsi="Arial" w:cs="Arial"/>
          <w:sz w:val="22"/>
          <w:szCs w:val="22"/>
          <w:lang w:val="sq-AL"/>
        </w:rPr>
        <w:t>p</w:t>
      </w:r>
      <w:r w:rsidR="005604E4" w:rsidRPr="005604E4">
        <w:rPr>
          <w:rFonts w:ascii="Arial" w:hAnsi="Arial" w:cs="Arial"/>
          <w:sz w:val="22"/>
          <w:szCs w:val="22"/>
          <w:lang w:val="sq-AL"/>
        </w:rPr>
        <w:t>unës</w:t>
      </w:r>
      <w:r w:rsidR="005604E4">
        <w:rPr>
          <w:rFonts w:ascii="Arial" w:hAnsi="Arial" w:cs="Arial"/>
          <w:sz w:val="22"/>
          <w:szCs w:val="22"/>
          <w:lang w:val="sq-AL"/>
        </w:rPr>
        <w:t>.</w:t>
      </w:r>
    </w:p>
    <w:p w:rsidR="003B371E" w:rsidRDefault="003B371E" w:rsidP="003B371E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75136" w:rsidRDefault="00375136" w:rsidP="003B371E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3B371E" w:rsidRDefault="003B371E" w:rsidP="003B371E">
      <w:pPr>
        <w:pStyle w:val="ListParagraph"/>
        <w:jc w:val="both"/>
        <w:rPr>
          <w:rFonts w:ascii="Arial" w:hAnsi="Arial" w:cs="Arial"/>
          <w:sz w:val="22"/>
          <w:szCs w:val="22"/>
          <w:lang w:val="sq-AL"/>
        </w:rPr>
      </w:pPr>
    </w:p>
    <w:p w:rsidR="00C820E1" w:rsidRDefault="001E2EF7" w:rsidP="00C820E1">
      <w:pPr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2B5A2F">
        <w:rPr>
          <w:rFonts w:ascii="Arial" w:hAnsi="Arial" w:cs="Arial"/>
          <w:b/>
          <w:bCs/>
          <w:sz w:val="22"/>
          <w:szCs w:val="22"/>
          <w:lang w:val="sq-AL"/>
        </w:rPr>
        <w:t>PËR KËTO ARSYE</w:t>
      </w:r>
      <w:r w:rsidR="003B371E">
        <w:rPr>
          <w:rFonts w:ascii="Arial" w:hAnsi="Arial" w:cs="Arial"/>
          <w:b/>
          <w:bCs/>
          <w:sz w:val="22"/>
          <w:szCs w:val="22"/>
          <w:lang w:val="sq-AL"/>
        </w:rPr>
        <w:t>,</w:t>
      </w:r>
      <w:r w:rsidR="00C820E1">
        <w:rPr>
          <w:rFonts w:ascii="Arial" w:hAnsi="Arial" w:cs="Arial"/>
          <w:b/>
          <w:bCs/>
          <w:sz w:val="22"/>
          <w:szCs w:val="22"/>
          <w:lang w:val="sq-AL"/>
        </w:rPr>
        <w:t xml:space="preserve"> PANELI NJËZËRI</w:t>
      </w:r>
    </w:p>
    <w:p w:rsidR="00C820E1" w:rsidRDefault="00C820E1" w:rsidP="00C820E1">
      <w:pPr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2B5A2F" w:rsidRPr="00A15986" w:rsidRDefault="00FA7451" w:rsidP="00C820E1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gjen se </w:t>
      </w:r>
      <w:r w:rsidR="00C1774D">
        <w:rPr>
          <w:rFonts w:ascii="Arial" w:hAnsi="Arial" w:cs="Arial"/>
          <w:sz w:val="22"/>
          <w:szCs w:val="22"/>
          <w:lang w:val="sq-AL"/>
        </w:rPr>
        <w:t xml:space="preserve">kjo ankesë </w:t>
      </w:r>
      <w:r w:rsidR="002B5A2F" w:rsidRPr="002B5A2F">
        <w:rPr>
          <w:rFonts w:ascii="Arial" w:hAnsi="Arial" w:cs="Arial"/>
          <w:sz w:val="22"/>
          <w:szCs w:val="22"/>
          <w:lang w:val="sq-AL"/>
        </w:rPr>
        <w:t xml:space="preserve">sipas </w:t>
      </w:r>
      <w:r w:rsidR="00CD0778">
        <w:rPr>
          <w:rFonts w:ascii="Arial" w:hAnsi="Arial" w:cs="Arial"/>
          <w:sz w:val="22"/>
          <w:szCs w:val="22"/>
          <w:lang w:val="sq-AL"/>
        </w:rPr>
        <w:t>n</w:t>
      </w:r>
      <w:r w:rsidR="002B5A2F" w:rsidRPr="002B5A2F">
        <w:rPr>
          <w:rFonts w:ascii="Arial" w:hAnsi="Arial" w:cs="Arial"/>
          <w:sz w:val="22"/>
          <w:szCs w:val="22"/>
          <w:lang w:val="sq-AL"/>
        </w:rPr>
        <w:t>enit 29 (</w:t>
      </w:r>
      <w:r w:rsidR="006602F6">
        <w:rPr>
          <w:rFonts w:ascii="Arial" w:hAnsi="Arial" w:cs="Arial"/>
          <w:sz w:val="22"/>
          <w:szCs w:val="22"/>
          <w:lang w:val="sq-AL"/>
        </w:rPr>
        <w:t>d</w:t>
      </w:r>
      <w:r w:rsidR="002B5A2F" w:rsidRPr="002B5A2F">
        <w:rPr>
          <w:rFonts w:ascii="Arial" w:hAnsi="Arial" w:cs="Arial"/>
          <w:sz w:val="22"/>
          <w:szCs w:val="22"/>
          <w:lang w:val="sq-AL"/>
        </w:rPr>
        <w:t xml:space="preserve">) të </w:t>
      </w:r>
      <w:r w:rsidR="00E0320B">
        <w:rPr>
          <w:rFonts w:ascii="Arial" w:hAnsi="Arial" w:cs="Arial"/>
          <w:sz w:val="22"/>
          <w:szCs w:val="22"/>
          <w:lang w:val="sq-AL"/>
        </w:rPr>
        <w:t>rregullores së vet të punë</w:t>
      </w:r>
      <w:r w:rsidR="00C820E1">
        <w:rPr>
          <w:rFonts w:ascii="Arial" w:hAnsi="Arial" w:cs="Arial"/>
          <w:sz w:val="22"/>
          <w:szCs w:val="22"/>
          <w:lang w:val="sq-AL"/>
        </w:rPr>
        <w:t>s është e pabazuar, dhe</w:t>
      </w: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2B5A2F" w:rsidRDefault="001E2EF7" w:rsidP="001E2EF7">
      <w:pPr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2B5A2F">
        <w:rPr>
          <w:rFonts w:ascii="Arial" w:hAnsi="Arial" w:cs="Arial"/>
          <w:b/>
          <w:bCs/>
          <w:sz w:val="22"/>
          <w:szCs w:val="22"/>
          <w:lang w:val="sq-AL"/>
        </w:rPr>
        <w:t>SHPALL ANKESËN TË PAPRANUESHME.</w:t>
      </w: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C820E1" w:rsidRDefault="00C820E1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C820E1" w:rsidRDefault="00C820E1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C820E1" w:rsidRDefault="00C820E1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C820E1" w:rsidRDefault="00C820E1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1E2EF7" w:rsidRDefault="002B5A2F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lastRenderedPageBreak/>
        <w:t>Për Panelin,</w:t>
      </w: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</w:p>
    <w:p w:rsidR="001E2EF7" w:rsidRPr="001E2EF7" w:rsidRDefault="001E2EF7" w:rsidP="001E2EF7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q-AL"/>
        </w:rPr>
      </w:pPr>
      <w:r w:rsidRPr="001E2EF7">
        <w:rPr>
          <w:rFonts w:ascii="Arial" w:hAnsi="Arial" w:cs="Arial"/>
          <w:sz w:val="22"/>
          <w:szCs w:val="22"/>
          <w:lang w:val="sq-AL"/>
        </w:rPr>
        <w:t>John J. RYAN</w:t>
      </w:r>
      <w:r w:rsidRPr="001E2EF7">
        <w:rPr>
          <w:rFonts w:ascii="Arial" w:hAnsi="Arial" w:cs="Arial"/>
          <w:sz w:val="22"/>
          <w:szCs w:val="22"/>
          <w:lang w:val="sq-AL"/>
        </w:rPr>
        <w:tab/>
      </w:r>
      <w:r w:rsidRPr="001E2EF7">
        <w:rPr>
          <w:rFonts w:ascii="Arial" w:hAnsi="Arial" w:cs="Arial"/>
          <w:sz w:val="22"/>
          <w:szCs w:val="22"/>
          <w:lang w:val="sq-AL"/>
        </w:rPr>
        <w:tab/>
      </w:r>
      <w:r w:rsidRPr="001E2EF7">
        <w:rPr>
          <w:rFonts w:ascii="Arial" w:hAnsi="Arial" w:cs="Arial"/>
          <w:sz w:val="22"/>
          <w:szCs w:val="22"/>
          <w:lang w:val="sq-AL"/>
        </w:rPr>
        <w:tab/>
      </w:r>
      <w:r w:rsidRPr="001E2EF7">
        <w:rPr>
          <w:rFonts w:ascii="Arial" w:hAnsi="Arial" w:cs="Arial"/>
          <w:sz w:val="22"/>
          <w:szCs w:val="22"/>
          <w:lang w:val="sq-AL"/>
        </w:rPr>
        <w:tab/>
      </w:r>
      <w:r w:rsidRPr="001E2EF7">
        <w:rPr>
          <w:rFonts w:ascii="Arial" w:hAnsi="Arial" w:cs="Arial"/>
          <w:sz w:val="22"/>
          <w:szCs w:val="22"/>
          <w:lang w:val="sq-AL"/>
        </w:rPr>
        <w:tab/>
      </w:r>
      <w:r w:rsidRPr="001E2EF7">
        <w:rPr>
          <w:rFonts w:ascii="Arial" w:hAnsi="Arial" w:cs="Arial"/>
          <w:sz w:val="22"/>
          <w:szCs w:val="22"/>
          <w:lang w:val="sq-AL"/>
        </w:rPr>
        <w:tab/>
      </w:r>
      <w:r w:rsidR="002B5A2F" w:rsidRPr="00A15986">
        <w:rPr>
          <w:rFonts w:ascii="Arial" w:hAnsi="Arial" w:cs="Arial"/>
          <w:sz w:val="22"/>
          <w:szCs w:val="22"/>
          <w:lang w:val="sq-AL"/>
        </w:rPr>
        <w:t>Magda MIERZEWSKA</w:t>
      </w:r>
    </w:p>
    <w:p w:rsidR="005B6143" w:rsidRPr="00A15986" w:rsidRDefault="001E2EF7" w:rsidP="002B5A2F">
      <w:pPr>
        <w:suppressAutoHyphens/>
        <w:autoSpaceDE w:val="0"/>
        <w:jc w:val="both"/>
        <w:rPr>
          <w:b/>
          <w:lang w:val="sq-AL"/>
        </w:rPr>
      </w:pPr>
      <w:r w:rsidRPr="001E2EF7">
        <w:rPr>
          <w:rFonts w:ascii="Arial" w:hAnsi="Arial" w:cs="Arial"/>
          <w:sz w:val="22"/>
          <w:szCs w:val="22"/>
          <w:lang w:val="sq-AL"/>
        </w:rPr>
        <w:t>Zyrtar</w:t>
      </w:r>
      <w:r w:rsidR="00CD0778">
        <w:rPr>
          <w:rFonts w:ascii="Arial" w:hAnsi="Arial" w:cs="Arial"/>
          <w:sz w:val="22"/>
          <w:szCs w:val="22"/>
          <w:lang w:val="sq-AL"/>
        </w:rPr>
        <w:t xml:space="preserve"> i lartë ligjor </w:t>
      </w:r>
      <w:r w:rsidR="00CD0778">
        <w:rPr>
          <w:rFonts w:ascii="Arial" w:hAnsi="Arial" w:cs="Arial"/>
          <w:sz w:val="22"/>
          <w:szCs w:val="22"/>
          <w:lang w:val="sq-AL"/>
        </w:rPr>
        <w:tab/>
      </w:r>
      <w:r w:rsidR="00CD0778">
        <w:rPr>
          <w:rFonts w:ascii="Arial" w:hAnsi="Arial" w:cs="Arial"/>
          <w:sz w:val="22"/>
          <w:szCs w:val="22"/>
          <w:lang w:val="sq-AL"/>
        </w:rPr>
        <w:tab/>
      </w:r>
      <w:r w:rsidR="00CD0778">
        <w:rPr>
          <w:rFonts w:ascii="Arial" w:hAnsi="Arial" w:cs="Arial"/>
          <w:sz w:val="22"/>
          <w:szCs w:val="22"/>
          <w:lang w:val="sq-AL"/>
        </w:rPr>
        <w:tab/>
      </w:r>
      <w:r w:rsidR="00CD0778">
        <w:rPr>
          <w:rFonts w:ascii="Arial" w:hAnsi="Arial" w:cs="Arial"/>
          <w:sz w:val="22"/>
          <w:szCs w:val="22"/>
          <w:lang w:val="sq-AL"/>
        </w:rPr>
        <w:tab/>
        <w:t xml:space="preserve">          </w:t>
      </w:r>
      <w:r w:rsidR="00CD0778">
        <w:rPr>
          <w:rFonts w:ascii="Arial" w:hAnsi="Arial" w:cs="Arial"/>
          <w:sz w:val="22"/>
          <w:szCs w:val="22"/>
          <w:lang w:val="sq-AL"/>
        </w:rPr>
        <w:tab/>
        <w:t>Kryesue</w:t>
      </w:r>
      <w:r w:rsidR="005340AB">
        <w:rPr>
          <w:rFonts w:ascii="Arial" w:hAnsi="Arial" w:cs="Arial"/>
          <w:sz w:val="22"/>
          <w:szCs w:val="22"/>
          <w:lang w:val="sq-AL"/>
        </w:rPr>
        <w:t>se</w:t>
      </w:r>
    </w:p>
    <w:sectPr w:rsidR="005B6143" w:rsidRPr="00A15986" w:rsidSect="0003228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268" w:right="1797" w:bottom="1440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A1" w:rsidRDefault="00D442A1">
      <w:r>
        <w:separator/>
      </w:r>
    </w:p>
  </w:endnote>
  <w:endnote w:type="continuationSeparator" w:id="0">
    <w:p w:rsidR="00D442A1" w:rsidRDefault="00D4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F" w:rsidRDefault="003A7FAF" w:rsidP="00567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FAF" w:rsidRDefault="003A7FAF" w:rsidP="001D0F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F" w:rsidRDefault="003A7FAF" w:rsidP="00567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5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A7FAF" w:rsidRPr="00032284" w:rsidRDefault="003A7FAF" w:rsidP="001D0F3B">
    <w:pPr>
      <w:pStyle w:val="Footer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F" w:rsidRDefault="003A7FAF" w:rsidP="0069378B">
    <w:pPr>
      <w:pStyle w:val="Footer"/>
      <w:ind w:right="360"/>
    </w:pPr>
  </w:p>
  <w:p w:rsidR="003A7FAF" w:rsidRPr="00F67EDB" w:rsidRDefault="003A7FAF" w:rsidP="00F67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A1" w:rsidRDefault="00D442A1">
      <w:r>
        <w:separator/>
      </w:r>
    </w:p>
  </w:footnote>
  <w:footnote w:type="continuationSeparator" w:id="0">
    <w:p w:rsidR="00D442A1" w:rsidRDefault="00D4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F" w:rsidRDefault="003A7FAF" w:rsidP="00391BB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AF" w:rsidRDefault="003A7FAF" w:rsidP="001D0F3B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262890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CC8"/>
    <w:multiLevelType w:val="multilevel"/>
    <w:tmpl w:val="2C308E38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11607F3"/>
    <w:multiLevelType w:val="hybridMultilevel"/>
    <w:tmpl w:val="607AB12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835510"/>
    <w:multiLevelType w:val="hybridMultilevel"/>
    <w:tmpl w:val="C6961B8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BEFE8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D6233"/>
    <w:multiLevelType w:val="hybridMultilevel"/>
    <w:tmpl w:val="1B2EF32A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D3ADF"/>
    <w:multiLevelType w:val="multilevel"/>
    <w:tmpl w:val="88A80998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9C23E87"/>
    <w:multiLevelType w:val="multilevel"/>
    <w:tmpl w:val="0748D5D8"/>
    <w:lvl w:ilvl="0">
      <w:start w:val="10"/>
      <w:numFmt w:val="decimal"/>
      <w:lvlText w:val="%1.0-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DEE3AAF"/>
    <w:multiLevelType w:val="hybridMultilevel"/>
    <w:tmpl w:val="B93E04F0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F074C82"/>
    <w:multiLevelType w:val="hybridMultilevel"/>
    <w:tmpl w:val="9FE8392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8669B5"/>
    <w:multiLevelType w:val="multilevel"/>
    <w:tmpl w:val="2C308E38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96D40F8"/>
    <w:multiLevelType w:val="multilevel"/>
    <w:tmpl w:val="79C2637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62E087F"/>
    <w:multiLevelType w:val="hybridMultilevel"/>
    <w:tmpl w:val="29A888BC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53E0E"/>
    <w:multiLevelType w:val="hybridMultilevel"/>
    <w:tmpl w:val="B33A37FA"/>
    <w:lvl w:ilvl="0" w:tplc="CDA02E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6310B"/>
    <w:multiLevelType w:val="multilevel"/>
    <w:tmpl w:val="08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3">
    <w:nsid w:val="6F561044"/>
    <w:multiLevelType w:val="multilevel"/>
    <w:tmpl w:val="81926194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2FC0E91"/>
    <w:multiLevelType w:val="hybridMultilevel"/>
    <w:tmpl w:val="016260C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874F37"/>
    <w:multiLevelType w:val="hybridMultilevel"/>
    <w:tmpl w:val="84AEACB0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A1BF6"/>
    <w:multiLevelType w:val="multilevel"/>
    <w:tmpl w:val="DB14147C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F7A372C"/>
    <w:multiLevelType w:val="hybridMultilevel"/>
    <w:tmpl w:val="80CA5F64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1"/>
    <w:rsid w:val="000014A7"/>
    <w:rsid w:val="00005A61"/>
    <w:rsid w:val="000107BB"/>
    <w:rsid w:val="00010CC4"/>
    <w:rsid w:val="0001217C"/>
    <w:rsid w:val="000167FC"/>
    <w:rsid w:val="00021BE5"/>
    <w:rsid w:val="000225C0"/>
    <w:rsid w:val="000252BC"/>
    <w:rsid w:val="000257E7"/>
    <w:rsid w:val="00030D8E"/>
    <w:rsid w:val="00032216"/>
    <w:rsid w:val="00032284"/>
    <w:rsid w:val="000329CB"/>
    <w:rsid w:val="0004049B"/>
    <w:rsid w:val="000505D5"/>
    <w:rsid w:val="000639CD"/>
    <w:rsid w:val="000653BF"/>
    <w:rsid w:val="00066AA6"/>
    <w:rsid w:val="0007597C"/>
    <w:rsid w:val="00077653"/>
    <w:rsid w:val="00083E28"/>
    <w:rsid w:val="0009360A"/>
    <w:rsid w:val="000972E5"/>
    <w:rsid w:val="000A2F52"/>
    <w:rsid w:val="000A4F85"/>
    <w:rsid w:val="000A6751"/>
    <w:rsid w:val="000B688E"/>
    <w:rsid w:val="000C0E93"/>
    <w:rsid w:val="000C167E"/>
    <w:rsid w:val="000C31C6"/>
    <w:rsid w:val="000D62A3"/>
    <w:rsid w:val="000E0E7B"/>
    <w:rsid w:val="000E1C7A"/>
    <w:rsid w:val="000F08E7"/>
    <w:rsid w:val="000F09D0"/>
    <w:rsid w:val="000F115D"/>
    <w:rsid w:val="000F1CB8"/>
    <w:rsid w:val="000F20A7"/>
    <w:rsid w:val="00100311"/>
    <w:rsid w:val="00100741"/>
    <w:rsid w:val="00107D55"/>
    <w:rsid w:val="001104EB"/>
    <w:rsid w:val="00110A38"/>
    <w:rsid w:val="0011709F"/>
    <w:rsid w:val="00126DFA"/>
    <w:rsid w:val="00126F7E"/>
    <w:rsid w:val="001332A9"/>
    <w:rsid w:val="001439CD"/>
    <w:rsid w:val="00143F24"/>
    <w:rsid w:val="00144FC5"/>
    <w:rsid w:val="0014592A"/>
    <w:rsid w:val="00147375"/>
    <w:rsid w:val="00160356"/>
    <w:rsid w:val="0016351D"/>
    <w:rsid w:val="00163D9B"/>
    <w:rsid w:val="00177420"/>
    <w:rsid w:val="0017750B"/>
    <w:rsid w:val="001873A2"/>
    <w:rsid w:val="001901B2"/>
    <w:rsid w:val="0019047D"/>
    <w:rsid w:val="001916C2"/>
    <w:rsid w:val="001947E1"/>
    <w:rsid w:val="00197EDD"/>
    <w:rsid w:val="001A36F8"/>
    <w:rsid w:val="001A5797"/>
    <w:rsid w:val="001B0607"/>
    <w:rsid w:val="001B4C2C"/>
    <w:rsid w:val="001B6073"/>
    <w:rsid w:val="001C2841"/>
    <w:rsid w:val="001C5D31"/>
    <w:rsid w:val="001D0F3B"/>
    <w:rsid w:val="001D1ABF"/>
    <w:rsid w:val="001E113A"/>
    <w:rsid w:val="001E1A9E"/>
    <w:rsid w:val="001E2EF7"/>
    <w:rsid w:val="001F26CA"/>
    <w:rsid w:val="001F60AF"/>
    <w:rsid w:val="00200A3E"/>
    <w:rsid w:val="00202973"/>
    <w:rsid w:val="0020340B"/>
    <w:rsid w:val="00206339"/>
    <w:rsid w:val="002076D7"/>
    <w:rsid w:val="00214E91"/>
    <w:rsid w:val="0022076D"/>
    <w:rsid w:val="0022142D"/>
    <w:rsid w:val="00227079"/>
    <w:rsid w:val="00230925"/>
    <w:rsid w:val="00232ECC"/>
    <w:rsid w:val="00233596"/>
    <w:rsid w:val="00240A9B"/>
    <w:rsid w:val="00242D15"/>
    <w:rsid w:val="00242E52"/>
    <w:rsid w:val="0025087E"/>
    <w:rsid w:val="00252DC5"/>
    <w:rsid w:val="00255887"/>
    <w:rsid w:val="00256BE0"/>
    <w:rsid w:val="0026376B"/>
    <w:rsid w:val="00267B05"/>
    <w:rsid w:val="00273923"/>
    <w:rsid w:val="00286771"/>
    <w:rsid w:val="002950B6"/>
    <w:rsid w:val="00297331"/>
    <w:rsid w:val="002A6196"/>
    <w:rsid w:val="002B1211"/>
    <w:rsid w:val="002B5A2F"/>
    <w:rsid w:val="002C3CCC"/>
    <w:rsid w:val="002C4D58"/>
    <w:rsid w:val="002C7B84"/>
    <w:rsid w:val="002F7C3C"/>
    <w:rsid w:val="00300ABD"/>
    <w:rsid w:val="00302991"/>
    <w:rsid w:val="00303398"/>
    <w:rsid w:val="00304B1C"/>
    <w:rsid w:val="00320139"/>
    <w:rsid w:val="00320BC7"/>
    <w:rsid w:val="00321071"/>
    <w:rsid w:val="00321B03"/>
    <w:rsid w:val="003238A3"/>
    <w:rsid w:val="003323FB"/>
    <w:rsid w:val="003345B2"/>
    <w:rsid w:val="003345CF"/>
    <w:rsid w:val="0034190C"/>
    <w:rsid w:val="00341BDB"/>
    <w:rsid w:val="00345375"/>
    <w:rsid w:val="00350342"/>
    <w:rsid w:val="0035068A"/>
    <w:rsid w:val="00351494"/>
    <w:rsid w:val="0036213B"/>
    <w:rsid w:val="0036223E"/>
    <w:rsid w:val="00372319"/>
    <w:rsid w:val="00375136"/>
    <w:rsid w:val="00390C55"/>
    <w:rsid w:val="00391BB2"/>
    <w:rsid w:val="00391DD6"/>
    <w:rsid w:val="00396B83"/>
    <w:rsid w:val="003A58EC"/>
    <w:rsid w:val="003A71A8"/>
    <w:rsid w:val="003A7FAF"/>
    <w:rsid w:val="003B1A7D"/>
    <w:rsid w:val="003B2356"/>
    <w:rsid w:val="003B371E"/>
    <w:rsid w:val="003B3C71"/>
    <w:rsid w:val="003C1989"/>
    <w:rsid w:val="003C4B9B"/>
    <w:rsid w:val="003C76D2"/>
    <w:rsid w:val="003D027F"/>
    <w:rsid w:val="003E29FC"/>
    <w:rsid w:val="003E496A"/>
    <w:rsid w:val="003E4B26"/>
    <w:rsid w:val="003E4CD6"/>
    <w:rsid w:val="003E71B9"/>
    <w:rsid w:val="003F3625"/>
    <w:rsid w:val="00411D12"/>
    <w:rsid w:val="00412063"/>
    <w:rsid w:val="00414AA0"/>
    <w:rsid w:val="004164B4"/>
    <w:rsid w:val="00417289"/>
    <w:rsid w:val="004220B0"/>
    <w:rsid w:val="0042210F"/>
    <w:rsid w:val="00426000"/>
    <w:rsid w:val="00431E6B"/>
    <w:rsid w:val="00432C00"/>
    <w:rsid w:val="00433757"/>
    <w:rsid w:val="004348F2"/>
    <w:rsid w:val="0043586D"/>
    <w:rsid w:val="00444261"/>
    <w:rsid w:val="00444548"/>
    <w:rsid w:val="00446E12"/>
    <w:rsid w:val="004550D1"/>
    <w:rsid w:val="004554D0"/>
    <w:rsid w:val="00465D7A"/>
    <w:rsid w:val="004669FD"/>
    <w:rsid w:val="00472BD2"/>
    <w:rsid w:val="00475FB8"/>
    <w:rsid w:val="00476B11"/>
    <w:rsid w:val="00482791"/>
    <w:rsid w:val="00484048"/>
    <w:rsid w:val="00487222"/>
    <w:rsid w:val="004A68CA"/>
    <w:rsid w:val="004A6D9A"/>
    <w:rsid w:val="004B2431"/>
    <w:rsid w:val="004C0925"/>
    <w:rsid w:val="004C0A42"/>
    <w:rsid w:val="004C0AA8"/>
    <w:rsid w:val="004C7C49"/>
    <w:rsid w:val="004E051C"/>
    <w:rsid w:val="004E6A56"/>
    <w:rsid w:val="00500299"/>
    <w:rsid w:val="0050134B"/>
    <w:rsid w:val="00501FDE"/>
    <w:rsid w:val="00507CF0"/>
    <w:rsid w:val="00511A55"/>
    <w:rsid w:val="00515A15"/>
    <w:rsid w:val="00517B74"/>
    <w:rsid w:val="00524864"/>
    <w:rsid w:val="00526161"/>
    <w:rsid w:val="005264A4"/>
    <w:rsid w:val="0053006D"/>
    <w:rsid w:val="005315EC"/>
    <w:rsid w:val="005322BE"/>
    <w:rsid w:val="00532FC6"/>
    <w:rsid w:val="005340AB"/>
    <w:rsid w:val="005349B2"/>
    <w:rsid w:val="00535FB2"/>
    <w:rsid w:val="00540D03"/>
    <w:rsid w:val="00540EE0"/>
    <w:rsid w:val="00543F99"/>
    <w:rsid w:val="00547918"/>
    <w:rsid w:val="00556F57"/>
    <w:rsid w:val="00557619"/>
    <w:rsid w:val="005604E4"/>
    <w:rsid w:val="00565F57"/>
    <w:rsid w:val="005673FB"/>
    <w:rsid w:val="00574E86"/>
    <w:rsid w:val="005753AB"/>
    <w:rsid w:val="0058777C"/>
    <w:rsid w:val="005927F3"/>
    <w:rsid w:val="00595B73"/>
    <w:rsid w:val="005A1306"/>
    <w:rsid w:val="005A24EE"/>
    <w:rsid w:val="005B4D76"/>
    <w:rsid w:val="005B6143"/>
    <w:rsid w:val="005C0903"/>
    <w:rsid w:val="005C150C"/>
    <w:rsid w:val="005C35DA"/>
    <w:rsid w:val="005C3EF3"/>
    <w:rsid w:val="005C7E7A"/>
    <w:rsid w:val="005D0969"/>
    <w:rsid w:val="005D0D89"/>
    <w:rsid w:val="005D5EAE"/>
    <w:rsid w:val="005E46DE"/>
    <w:rsid w:val="005E79F7"/>
    <w:rsid w:val="005F3068"/>
    <w:rsid w:val="005F640D"/>
    <w:rsid w:val="005F6426"/>
    <w:rsid w:val="00600A50"/>
    <w:rsid w:val="00600FFC"/>
    <w:rsid w:val="00601676"/>
    <w:rsid w:val="00607232"/>
    <w:rsid w:val="00610324"/>
    <w:rsid w:val="00613B27"/>
    <w:rsid w:val="00620CD1"/>
    <w:rsid w:val="006224EF"/>
    <w:rsid w:val="00622568"/>
    <w:rsid w:val="006335A7"/>
    <w:rsid w:val="00635D79"/>
    <w:rsid w:val="0064362E"/>
    <w:rsid w:val="006456F3"/>
    <w:rsid w:val="0065638F"/>
    <w:rsid w:val="006602F6"/>
    <w:rsid w:val="00661610"/>
    <w:rsid w:val="00662A5E"/>
    <w:rsid w:val="006675FA"/>
    <w:rsid w:val="00670C76"/>
    <w:rsid w:val="0067220C"/>
    <w:rsid w:val="00675D29"/>
    <w:rsid w:val="0068457D"/>
    <w:rsid w:val="0069276A"/>
    <w:rsid w:val="0069378B"/>
    <w:rsid w:val="00693D6D"/>
    <w:rsid w:val="006974A4"/>
    <w:rsid w:val="006A1098"/>
    <w:rsid w:val="006A2FF9"/>
    <w:rsid w:val="006A5807"/>
    <w:rsid w:val="006A713D"/>
    <w:rsid w:val="006B039E"/>
    <w:rsid w:val="006B169E"/>
    <w:rsid w:val="006B1C54"/>
    <w:rsid w:val="006B3F4A"/>
    <w:rsid w:val="006B4BDB"/>
    <w:rsid w:val="006B6709"/>
    <w:rsid w:val="006C0B16"/>
    <w:rsid w:val="006C1F50"/>
    <w:rsid w:val="006D2A41"/>
    <w:rsid w:val="006D2B1D"/>
    <w:rsid w:val="006D36DC"/>
    <w:rsid w:val="006D380A"/>
    <w:rsid w:val="006D3E2F"/>
    <w:rsid w:val="006D4051"/>
    <w:rsid w:val="006D752B"/>
    <w:rsid w:val="006E0B85"/>
    <w:rsid w:val="006E48D5"/>
    <w:rsid w:val="007003DF"/>
    <w:rsid w:val="007022FE"/>
    <w:rsid w:val="007057DE"/>
    <w:rsid w:val="00717657"/>
    <w:rsid w:val="00731363"/>
    <w:rsid w:val="00731CDB"/>
    <w:rsid w:val="00735ECD"/>
    <w:rsid w:val="0073731F"/>
    <w:rsid w:val="00737908"/>
    <w:rsid w:val="00742F28"/>
    <w:rsid w:val="0074414D"/>
    <w:rsid w:val="007464FB"/>
    <w:rsid w:val="0074799D"/>
    <w:rsid w:val="00750360"/>
    <w:rsid w:val="0075137F"/>
    <w:rsid w:val="0075281A"/>
    <w:rsid w:val="00753FB4"/>
    <w:rsid w:val="0075469C"/>
    <w:rsid w:val="00773A55"/>
    <w:rsid w:val="00775258"/>
    <w:rsid w:val="007804B7"/>
    <w:rsid w:val="00780831"/>
    <w:rsid w:val="00784BE5"/>
    <w:rsid w:val="00787E9B"/>
    <w:rsid w:val="007939A2"/>
    <w:rsid w:val="00795700"/>
    <w:rsid w:val="007958F5"/>
    <w:rsid w:val="007A0EC6"/>
    <w:rsid w:val="007A38ED"/>
    <w:rsid w:val="007B1BA0"/>
    <w:rsid w:val="007B2789"/>
    <w:rsid w:val="007B4AC7"/>
    <w:rsid w:val="007C2E1B"/>
    <w:rsid w:val="007C64C6"/>
    <w:rsid w:val="007C6CC3"/>
    <w:rsid w:val="007D198D"/>
    <w:rsid w:val="007D5ABD"/>
    <w:rsid w:val="007E18DC"/>
    <w:rsid w:val="007E30D8"/>
    <w:rsid w:val="007E5A49"/>
    <w:rsid w:val="007F05F3"/>
    <w:rsid w:val="007F5DCD"/>
    <w:rsid w:val="008039E2"/>
    <w:rsid w:val="00817753"/>
    <w:rsid w:val="00830472"/>
    <w:rsid w:val="00830C15"/>
    <w:rsid w:val="00833FE6"/>
    <w:rsid w:val="00834B1C"/>
    <w:rsid w:val="00836D41"/>
    <w:rsid w:val="00837441"/>
    <w:rsid w:val="00840A12"/>
    <w:rsid w:val="00842E7C"/>
    <w:rsid w:val="00845EFA"/>
    <w:rsid w:val="00853832"/>
    <w:rsid w:val="008548B9"/>
    <w:rsid w:val="008573B4"/>
    <w:rsid w:val="008640FB"/>
    <w:rsid w:val="008644CA"/>
    <w:rsid w:val="00872F80"/>
    <w:rsid w:val="0087381A"/>
    <w:rsid w:val="00884C40"/>
    <w:rsid w:val="00891AE3"/>
    <w:rsid w:val="008A1342"/>
    <w:rsid w:val="008A15CD"/>
    <w:rsid w:val="008A46A1"/>
    <w:rsid w:val="008B364B"/>
    <w:rsid w:val="008B796D"/>
    <w:rsid w:val="008C257F"/>
    <w:rsid w:val="008C406D"/>
    <w:rsid w:val="008D4A7B"/>
    <w:rsid w:val="008E272B"/>
    <w:rsid w:val="008F39CD"/>
    <w:rsid w:val="008F402C"/>
    <w:rsid w:val="008F6E9C"/>
    <w:rsid w:val="008F7D24"/>
    <w:rsid w:val="009010C3"/>
    <w:rsid w:val="00906062"/>
    <w:rsid w:val="00924C8C"/>
    <w:rsid w:val="009253DA"/>
    <w:rsid w:val="00925D62"/>
    <w:rsid w:val="009263A9"/>
    <w:rsid w:val="00944640"/>
    <w:rsid w:val="009463F0"/>
    <w:rsid w:val="00955E34"/>
    <w:rsid w:val="00956A86"/>
    <w:rsid w:val="00960C3D"/>
    <w:rsid w:val="0096107A"/>
    <w:rsid w:val="00963DE3"/>
    <w:rsid w:val="00972D07"/>
    <w:rsid w:val="00974F08"/>
    <w:rsid w:val="00975173"/>
    <w:rsid w:val="009762B8"/>
    <w:rsid w:val="00982B8A"/>
    <w:rsid w:val="0098726B"/>
    <w:rsid w:val="00994140"/>
    <w:rsid w:val="00995B0D"/>
    <w:rsid w:val="00995D5D"/>
    <w:rsid w:val="009A1872"/>
    <w:rsid w:val="009A2603"/>
    <w:rsid w:val="009A3960"/>
    <w:rsid w:val="009A515D"/>
    <w:rsid w:val="009B2C00"/>
    <w:rsid w:val="009B2DEC"/>
    <w:rsid w:val="009B40A3"/>
    <w:rsid w:val="009B55E9"/>
    <w:rsid w:val="009B7E02"/>
    <w:rsid w:val="009C0F0F"/>
    <w:rsid w:val="009C2706"/>
    <w:rsid w:val="009C5E7C"/>
    <w:rsid w:val="009C6745"/>
    <w:rsid w:val="009E20DD"/>
    <w:rsid w:val="009E4077"/>
    <w:rsid w:val="009F27E3"/>
    <w:rsid w:val="009F5730"/>
    <w:rsid w:val="009F7FC7"/>
    <w:rsid w:val="00A06704"/>
    <w:rsid w:val="00A15986"/>
    <w:rsid w:val="00A16961"/>
    <w:rsid w:val="00A237DD"/>
    <w:rsid w:val="00A25152"/>
    <w:rsid w:val="00A25D0C"/>
    <w:rsid w:val="00A3074E"/>
    <w:rsid w:val="00A30902"/>
    <w:rsid w:val="00A323DD"/>
    <w:rsid w:val="00A436D0"/>
    <w:rsid w:val="00A46EAE"/>
    <w:rsid w:val="00A6169F"/>
    <w:rsid w:val="00A61CD7"/>
    <w:rsid w:val="00A6233B"/>
    <w:rsid w:val="00A62C07"/>
    <w:rsid w:val="00A67EA3"/>
    <w:rsid w:val="00A959EB"/>
    <w:rsid w:val="00AA0644"/>
    <w:rsid w:val="00AA1715"/>
    <w:rsid w:val="00AA3822"/>
    <w:rsid w:val="00AA53DD"/>
    <w:rsid w:val="00AA689D"/>
    <w:rsid w:val="00AB0556"/>
    <w:rsid w:val="00AB0C1D"/>
    <w:rsid w:val="00AB113B"/>
    <w:rsid w:val="00AB2C39"/>
    <w:rsid w:val="00AC0CE2"/>
    <w:rsid w:val="00AC2B03"/>
    <w:rsid w:val="00AC3C48"/>
    <w:rsid w:val="00AC677D"/>
    <w:rsid w:val="00AD7894"/>
    <w:rsid w:val="00AE436F"/>
    <w:rsid w:val="00AE5018"/>
    <w:rsid w:val="00AE5AD4"/>
    <w:rsid w:val="00AE5BD3"/>
    <w:rsid w:val="00AE5C6D"/>
    <w:rsid w:val="00AF0893"/>
    <w:rsid w:val="00AF3D9D"/>
    <w:rsid w:val="00AF7AD2"/>
    <w:rsid w:val="00B1052B"/>
    <w:rsid w:val="00B14693"/>
    <w:rsid w:val="00B14BBB"/>
    <w:rsid w:val="00B154A6"/>
    <w:rsid w:val="00B1695D"/>
    <w:rsid w:val="00B22881"/>
    <w:rsid w:val="00B22AA9"/>
    <w:rsid w:val="00B239B3"/>
    <w:rsid w:val="00B23E07"/>
    <w:rsid w:val="00B346DA"/>
    <w:rsid w:val="00B47B2D"/>
    <w:rsid w:val="00B623A7"/>
    <w:rsid w:val="00B6341C"/>
    <w:rsid w:val="00B64447"/>
    <w:rsid w:val="00B70C8C"/>
    <w:rsid w:val="00B74C97"/>
    <w:rsid w:val="00B75E31"/>
    <w:rsid w:val="00B7792D"/>
    <w:rsid w:val="00B908FD"/>
    <w:rsid w:val="00B938DC"/>
    <w:rsid w:val="00B93CE6"/>
    <w:rsid w:val="00B95B9B"/>
    <w:rsid w:val="00BA0DD7"/>
    <w:rsid w:val="00BA1055"/>
    <w:rsid w:val="00BA6657"/>
    <w:rsid w:val="00BB3964"/>
    <w:rsid w:val="00BB552F"/>
    <w:rsid w:val="00BB6797"/>
    <w:rsid w:val="00BB6BAD"/>
    <w:rsid w:val="00BC0DBE"/>
    <w:rsid w:val="00BC2C90"/>
    <w:rsid w:val="00BC5FD8"/>
    <w:rsid w:val="00BD0748"/>
    <w:rsid w:val="00BD1706"/>
    <w:rsid w:val="00BD30DA"/>
    <w:rsid w:val="00BE0AED"/>
    <w:rsid w:val="00BE12C1"/>
    <w:rsid w:val="00BF42B8"/>
    <w:rsid w:val="00C0404C"/>
    <w:rsid w:val="00C05EFE"/>
    <w:rsid w:val="00C079E6"/>
    <w:rsid w:val="00C07C84"/>
    <w:rsid w:val="00C101F2"/>
    <w:rsid w:val="00C13883"/>
    <w:rsid w:val="00C13CC9"/>
    <w:rsid w:val="00C16603"/>
    <w:rsid w:val="00C1774D"/>
    <w:rsid w:val="00C20654"/>
    <w:rsid w:val="00C27BB3"/>
    <w:rsid w:val="00C31581"/>
    <w:rsid w:val="00C319E7"/>
    <w:rsid w:val="00C479BC"/>
    <w:rsid w:val="00C50C9C"/>
    <w:rsid w:val="00C55C2F"/>
    <w:rsid w:val="00C56943"/>
    <w:rsid w:val="00C62C23"/>
    <w:rsid w:val="00C63A6C"/>
    <w:rsid w:val="00C64E0D"/>
    <w:rsid w:val="00C656B5"/>
    <w:rsid w:val="00C65C72"/>
    <w:rsid w:val="00C74C44"/>
    <w:rsid w:val="00C820E1"/>
    <w:rsid w:val="00C85E13"/>
    <w:rsid w:val="00C968FA"/>
    <w:rsid w:val="00C97E04"/>
    <w:rsid w:val="00CA3D1C"/>
    <w:rsid w:val="00CA4931"/>
    <w:rsid w:val="00CA6E2D"/>
    <w:rsid w:val="00CB6436"/>
    <w:rsid w:val="00CC1FED"/>
    <w:rsid w:val="00CD0778"/>
    <w:rsid w:val="00CD5C3B"/>
    <w:rsid w:val="00CD6F94"/>
    <w:rsid w:val="00CE0264"/>
    <w:rsid w:val="00CE0A5D"/>
    <w:rsid w:val="00CE0F61"/>
    <w:rsid w:val="00CE3826"/>
    <w:rsid w:val="00CE4426"/>
    <w:rsid w:val="00CF1BD4"/>
    <w:rsid w:val="00CF7DE8"/>
    <w:rsid w:val="00D0567D"/>
    <w:rsid w:val="00D05DFD"/>
    <w:rsid w:val="00D071AF"/>
    <w:rsid w:val="00D07A19"/>
    <w:rsid w:val="00D12CBA"/>
    <w:rsid w:val="00D15630"/>
    <w:rsid w:val="00D160E3"/>
    <w:rsid w:val="00D21FDC"/>
    <w:rsid w:val="00D25A37"/>
    <w:rsid w:val="00D25E65"/>
    <w:rsid w:val="00D403CD"/>
    <w:rsid w:val="00D421DC"/>
    <w:rsid w:val="00D442A1"/>
    <w:rsid w:val="00D459C9"/>
    <w:rsid w:val="00D563CC"/>
    <w:rsid w:val="00D6321F"/>
    <w:rsid w:val="00D67F32"/>
    <w:rsid w:val="00D75426"/>
    <w:rsid w:val="00D763AD"/>
    <w:rsid w:val="00D7755D"/>
    <w:rsid w:val="00D8289A"/>
    <w:rsid w:val="00D94330"/>
    <w:rsid w:val="00D957FA"/>
    <w:rsid w:val="00D96CE4"/>
    <w:rsid w:val="00DA0560"/>
    <w:rsid w:val="00DA6C19"/>
    <w:rsid w:val="00DA6EF5"/>
    <w:rsid w:val="00DB033F"/>
    <w:rsid w:val="00DB4F00"/>
    <w:rsid w:val="00DB6104"/>
    <w:rsid w:val="00DB7A78"/>
    <w:rsid w:val="00DC2AF4"/>
    <w:rsid w:val="00DC3CE9"/>
    <w:rsid w:val="00DD0641"/>
    <w:rsid w:val="00DD15E2"/>
    <w:rsid w:val="00DD1803"/>
    <w:rsid w:val="00DD2C34"/>
    <w:rsid w:val="00DD2FEA"/>
    <w:rsid w:val="00DD2FF7"/>
    <w:rsid w:val="00DD4400"/>
    <w:rsid w:val="00DE01E1"/>
    <w:rsid w:val="00DE2B2E"/>
    <w:rsid w:val="00DE5BC4"/>
    <w:rsid w:val="00DF33D6"/>
    <w:rsid w:val="00DF68FB"/>
    <w:rsid w:val="00E03203"/>
    <w:rsid w:val="00E0320B"/>
    <w:rsid w:val="00E0347C"/>
    <w:rsid w:val="00E07260"/>
    <w:rsid w:val="00E1737F"/>
    <w:rsid w:val="00E220E6"/>
    <w:rsid w:val="00E229CC"/>
    <w:rsid w:val="00E2409D"/>
    <w:rsid w:val="00E24C0E"/>
    <w:rsid w:val="00E27873"/>
    <w:rsid w:val="00E31771"/>
    <w:rsid w:val="00E354C1"/>
    <w:rsid w:val="00E35C4B"/>
    <w:rsid w:val="00E41262"/>
    <w:rsid w:val="00E41905"/>
    <w:rsid w:val="00E507DA"/>
    <w:rsid w:val="00E50C5E"/>
    <w:rsid w:val="00E5191D"/>
    <w:rsid w:val="00E51953"/>
    <w:rsid w:val="00E53BBE"/>
    <w:rsid w:val="00E56511"/>
    <w:rsid w:val="00E61A19"/>
    <w:rsid w:val="00E63CD1"/>
    <w:rsid w:val="00E65183"/>
    <w:rsid w:val="00E73FDA"/>
    <w:rsid w:val="00E74E9E"/>
    <w:rsid w:val="00E76A43"/>
    <w:rsid w:val="00E80830"/>
    <w:rsid w:val="00E841A8"/>
    <w:rsid w:val="00E904FC"/>
    <w:rsid w:val="00E93FD1"/>
    <w:rsid w:val="00E95F58"/>
    <w:rsid w:val="00EA24B8"/>
    <w:rsid w:val="00EA46C8"/>
    <w:rsid w:val="00EB4B23"/>
    <w:rsid w:val="00EC1D99"/>
    <w:rsid w:val="00EC23C2"/>
    <w:rsid w:val="00EC5C83"/>
    <w:rsid w:val="00ED50DB"/>
    <w:rsid w:val="00ED54EA"/>
    <w:rsid w:val="00ED579F"/>
    <w:rsid w:val="00EE48AB"/>
    <w:rsid w:val="00EE5918"/>
    <w:rsid w:val="00F018A3"/>
    <w:rsid w:val="00F05FEF"/>
    <w:rsid w:val="00F061FB"/>
    <w:rsid w:val="00F11201"/>
    <w:rsid w:val="00F15669"/>
    <w:rsid w:val="00F16400"/>
    <w:rsid w:val="00F232CD"/>
    <w:rsid w:val="00F3299A"/>
    <w:rsid w:val="00F4186D"/>
    <w:rsid w:val="00F5699D"/>
    <w:rsid w:val="00F57327"/>
    <w:rsid w:val="00F62AAF"/>
    <w:rsid w:val="00F62FB6"/>
    <w:rsid w:val="00F65F53"/>
    <w:rsid w:val="00F67EDB"/>
    <w:rsid w:val="00F77DEF"/>
    <w:rsid w:val="00F95352"/>
    <w:rsid w:val="00F97376"/>
    <w:rsid w:val="00F97FB4"/>
    <w:rsid w:val="00FA7451"/>
    <w:rsid w:val="00FB008B"/>
    <w:rsid w:val="00FB54D4"/>
    <w:rsid w:val="00FC02B7"/>
    <w:rsid w:val="00FC4A88"/>
    <w:rsid w:val="00FD32B9"/>
    <w:rsid w:val="00FE1B7F"/>
    <w:rsid w:val="00FE377E"/>
    <w:rsid w:val="00FE3B29"/>
    <w:rsid w:val="00FF091E"/>
    <w:rsid w:val="00FF12FF"/>
    <w:rsid w:val="00FF143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25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65638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2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2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0F3B"/>
    <w:rPr>
      <w:rFonts w:cs="Times New Roman"/>
    </w:rPr>
  </w:style>
  <w:style w:type="table" w:styleId="TableGrid">
    <w:name w:val="Table Grid"/>
    <w:basedOn w:val="TableNormal"/>
    <w:uiPriority w:val="99"/>
    <w:rsid w:val="00543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586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7ED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258"/>
    <w:rPr>
      <w:rFonts w:cs="Times New Roman"/>
      <w:sz w:val="24"/>
      <w:szCs w:val="24"/>
    </w:rPr>
  </w:style>
  <w:style w:type="character" w:customStyle="1" w:styleId="text1">
    <w:name w:val="text1"/>
    <w:basedOn w:val="DefaultParagraphFont"/>
    <w:uiPriority w:val="99"/>
    <w:rsid w:val="00F67EDB"/>
    <w:rPr>
      <w:rFonts w:ascii="Arial" w:hAnsi="Arial" w:cs="Arial"/>
      <w:sz w:val="18"/>
      <w:szCs w:val="18"/>
    </w:rPr>
  </w:style>
  <w:style w:type="paragraph" w:customStyle="1" w:styleId="Telefax">
    <w:name w:val="Telefax"/>
    <w:basedOn w:val="Normal"/>
    <w:next w:val="Normal"/>
    <w:uiPriority w:val="99"/>
    <w:rsid w:val="002A6196"/>
    <w:pPr>
      <w:widowControl w:val="0"/>
      <w:spacing w:before="1400"/>
    </w:pPr>
    <w:rPr>
      <w:rFonts w:ascii="Arial" w:hAnsi="Arial"/>
      <w:b/>
      <w:sz w:val="36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B67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258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65638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2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2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0F3B"/>
    <w:rPr>
      <w:rFonts w:cs="Times New Roman"/>
    </w:rPr>
  </w:style>
  <w:style w:type="table" w:styleId="TableGrid">
    <w:name w:val="Table Grid"/>
    <w:basedOn w:val="TableNormal"/>
    <w:uiPriority w:val="99"/>
    <w:rsid w:val="00543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586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7ED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5258"/>
    <w:rPr>
      <w:rFonts w:cs="Times New Roman"/>
      <w:sz w:val="24"/>
      <w:szCs w:val="24"/>
    </w:rPr>
  </w:style>
  <w:style w:type="character" w:customStyle="1" w:styleId="text1">
    <w:name w:val="text1"/>
    <w:basedOn w:val="DefaultParagraphFont"/>
    <w:uiPriority w:val="99"/>
    <w:rsid w:val="00F67EDB"/>
    <w:rPr>
      <w:rFonts w:ascii="Arial" w:hAnsi="Arial" w:cs="Arial"/>
      <w:sz w:val="18"/>
      <w:szCs w:val="18"/>
    </w:rPr>
  </w:style>
  <w:style w:type="paragraph" w:customStyle="1" w:styleId="Telefax">
    <w:name w:val="Telefax"/>
    <w:basedOn w:val="Normal"/>
    <w:next w:val="Normal"/>
    <w:uiPriority w:val="99"/>
    <w:rsid w:val="002A6196"/>
    <w:pPr>
      <w:widowControl w:val="0"/>
      <w:spacing w:before="1400"/>
    </w:pPr>
    <w:rPr>
      <w:rFonts w:ascii="Arial" w:hAnsi="Arial"/>
      <w:b/>
      <w:sz w:val="36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6B67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rrp.eu/alb/docs/Decisions/2010-02%20Decision-a%20pdf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hrrp.eu/alb/docs/Decisions/Inadmissibility%20Decision%202011-13-a%20pdf.pdf" TargetMode="External"/><Relationship Id="rId17" Type="http://schemas.openxmlformats.org/officeDocument/2006/relationships/hyperlink" Target="http://www.unodc.org/documents/treaties/UNCAC/Publications/Convention/08-50026_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hchr.org/Documents/Issues/Development/GoodGovernance/Corruption/MoroccoStatementHRAndCorruption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rp.eu/alb/docs/Decisions/Inadmissibility%20Decision%202011-18-a%20pdf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rrp.eu/alb/docs/Decisions/2010-02%20Decision-a%20pdf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rrp.eu/alb/docs/Decisions/Admissibility%20decision%202011-07-a%20pdf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rrp.eu/alb/docs/Decisions/Inadmissibility%20decision%202012-06%20FINAL-a%20pdf.pdf" TargetMode="External"/><Relationship Id="rId14" Type="http://schemas.openxmlformats.org/officeDocument/2006/relationships/hyperlink" Target="http://www.hrrp.eu/alb/docs/Decisions/Inadmissibility%20decision%202012-06%20FINAL-a%20pdf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C7E1-63CA-4F3D-9C1A-2C5092D0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REVIEW PANEL</vt:lpstr>
    </vt:vector>
  </TitlesOfParts>
  <Company>EULEX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REVIEW PANEL</dc:title>
  <dc:creator>Joanna Marszalik</dc:creator>
  <cp:lastModifiedBy>Kushtrim Xhaferi</cp:lastModifiedBy>
  <cp:revision>116</cp:revision>
  <cp:lastPrinted>2012-10-05T11:41:00Z</cp:lastPrinted>
  <dcterms:created xsi:type="dcterms:W3CDTF">2013-12-10T08:58:00Z</dcterms:created>
  <dcterms:modified xsi:type="dcterms:W3CDTF">2013-12-11T14:17:00Z</dcterms:modified>
</cp:coreProperties>
</file>